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pPr>
        <w:spacing w:line="360" w:lineRule="auto"/>
        <w:jc w:val="center"/>
        <w:outlineLvl w:val="1"/>
        <w:rPr>
          <w:rFonts w:ascii="宋体" w:hAnsi="宋体" w:eastAsia="宋体" w:cs="Times New Roman"/>
          <w:b/>
          <w:kern w:val="0"/>
          <w:sz w:val="28"/>
        </w:rPr>
      </w:pPr>
      <w:r>
        <w:rPr>
          <w:rFonts w:hint="eastAsia" w:asciiTheme="minorEastAsia" w:hAnsiTheme="minorEastAsia" w:eastAsiaTheme="minorEastAsia"/>
          <w:b w:val="0"/>
          <w:bCs/>
          <w:color w:val="auto"/>
          <w:sz w:val="28"/>
          <w:highlight w:val="none"/>
          <w:lang w:val="en-US" w:eastAsia="zh-CN"/>
        </w:rPr>
        <w:t>（仅供参考，以招标文件为准）</w:t>
      </w:r>
    </w:p>
    <w:tbl>
      <w:tblPr>
        <w:tblStyle w:val="26"/>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354"/>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序号</w:t>
            </w:r>
          </w:p>
        </w:tc>
        <w:tc>
          <w:tcPr>
            <w:tcW w:w="758" w:type="pct"/>
            <w:vAlign w:val="center"/>
          </w:tcPr>
          <w:p>
            <w:pPr>
              <w:spacing w:line="360" w:lineRule="auto"/>
              <w:ind w:firstLine="435"/>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内容</w:t>
            </w:r>
          </w:p>
        </w:tc>
        <w:tc>
          <w:tcPr>
            <w:tcW w:w="3707" w:type="pct"/>
            <w:vAlign w:val="center"/>
          </w:tcPr>
          <w:p>
            <w:pPr>
              <w:spacing w:line="360" w:lineRule="auto"/>
              <w:ind w:firstLine="435"/>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人员到岗及履约要求</w:t>
            </w:r>
          </w:p>
        </w:tc>
        <w:tc>
          <w:tcPr>
            <w:tcW w:w="3707"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（1）供应商一旦成交，磋商时所报的本项目的项目经理、施工现场技术负责人、各专业负责工程师及施工机械等在整个项目施工期内必须在位，否则采购人有权</w:t>
            </w:r>
            <w:r>
              <w:rPr>
                <w:rFonts w:hint="eastAsia" w:ascii="宋体" w:hAnsi="宋体" w:eastAsia="宋体" w:cs="@仿宋_GB2312"/>
                <w:kern w:val="2"/>
                <w:sz w:val="24"/>
                <w:szCs w:val="22"/>
                <w:highlight w:val="none"/>
                <w:lang w:val="en-US" w:eastAsia="zh-CN"/>
              </w:rPr>
              <w:t>解除</w:t>
            </w:r>
            <w:r>
              <w:rPr>
                <w:rFonts w:hint="eastAsia" w:ascii="宋体" w:hAnsi="宋体" w:eastAsia="宋体" w:cs="@仿宋_GB2312"/>
                <w:kern w:val="2"/>
                <w:sz w:val="24"/>
                <w:szCs w:val="22"/>
                <w:highlight w:val="none"/>
              </w:rPr>
              <w:t>合同。由此造成的损失，成交供应商自行承担并赔偿可能给采购人造成的损失。</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材料要求</w:t>
            </w:r>
          </w:p>
        </w:tc>
        <w:tc>
          <w:tcPr>
            <w:tcW w:w="3707"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工程施工重点难点</w:t>
            </w:r>
          </w:p>
        </w:tc>
        <w:tc>
          <w:tcPr>
            <w:tcW w:w="3707" w:type="pct"/>
            <w:vAlign w:val="center"/>
          </w:tcPr>
          <w:p>
            <w:pPr>
              <w:spacing w:line="360" w:lineRule="auto"/>
              <w:rPr>
                <w:rFonts w:hint="eastAsia" w:ascii="宋体" w:hAnsi="宋体" w:eastAsia="宋体" w:cs="@仿宋_GB2312"/>
                <w:kern w:val="2"/>
                <w:sz w:val="24"/>
                <w:szCs w:val="22"/>
                <w:highlight w:val="none"/>
                <w:lang w:eastAsia="zh-CN"/>
              </w:rPr>
            </w:pPr>
            <w:r>
              <w:rPr>
                <w:rFonts w:hint="eastAsia" w:ascii="宋体" w:hAnsi="宋体" w:eastAsia="宋体" w:cs="@仿宋_GB2312"/>
                <w:kern w:val="2"/>
                <w:sz w:val="24"/>
                <w:szCs w:val="22"/>
                <w:highlight w:val="none"/>
                <w:lang w:eastAsia="zh-CN"/>
              </w:rPr>
              <w:t>（</w:t>
            </w:r>
            <w:r>
              <w:rPr>
                <w:rFonts w:hint="eastAsia" w:ascii="宋体" w:hAnsi="宋体" w:eastAsia="宋体" w:cs="@仿宋_GB2312"/>
                <w:kern w:val="2"/>
                <w:sz w:val="24"/>
                <w:szCs w:val="22"/>
                <w:highlight w:val="none"/>
                <w:lang w:val="en-US" w:eastAsia="zh-CN"/>
              </w:rPr>
              <w:t>1</w:t>
            </w:r>
            <w:r>
              <w:rPr>
                <w:rFonts w:hint="eastAsia" w:ascii="宋体" w:hAnsi="宋体" w:eastAsia="宋体" w:cs="@仿宋_GB2312"/>
                <w:kern w:val="2"/>
                <w:sz w:val="24"/>
                <w:szCs w:val="22"/>
                <w:highlight w:val="none"/>
                <w:lang w:eastAsia="zh-CN"/>
              </w:rPr>
              <w:t>）</w:t>
            </w:r>
            <w:r>
              <w:rPr>
                <w:rFonts w:hint="eastAsia" w:ascii="宋体" w:hAnsi="宋体" w:eastAsia="宋体" w:cs="@仿宋_GB2312"/>
                <w:kern w:val="2"/>
                <w:sz w:val="24"/>
                <w:szCs w:val="22"/>
                <w:highlight w:val="none"/>
              </w:rPr>
              <w:t>成交供应商应准确理解设计理念，将设计内容全面、完整、准确展现</w:t>
            </w:r>
            <w:r>
              <w:rPr>
                <w:rFonts w:hint="eastAsia" w:ascii="宋体" w:hAnsi="宋体" w:eastAsia="宋体" w:cs="@仿宋_GB2312"/>
                <w:kern w:val="2"/>
                <w:sz w:val="24"/>
                <w:szCs w:val="22"/>
                <w:highlight w:val="none"/>
                <w:lang w:eastAsia="zh-CN"/>
              </w:rPr>
              <w:t>；</w:t>
            </w:r>
          </w:p>
          <w:p>
            <w:pPr>
              <w:spacing w:line="360" w:lineRule="auto"/>
              <w:rPr>
                <w:rFonts w:hint="default"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lang w:eastAsia="zh-CN"/>
              </w:rPr>
              <w:t>（</w:t>
            </w:r>
            <w:r>
              <w:rPr>
                <w:rFonts w:hint="eastAsia" w:ascii="宋体" w:hAnsi="宋体" w:eastAsia="宋体" w:cs="@仿宋_GB2312"/>
                <w:kern w:val="2"/>
                <w:sz w:val="24"/>
                <w:szCs w:val="22"/>
                <w:highlight w:val="none"/>
                <w:lang w:val="en-US" w:eastAsia="zh-CN"/>
              </w:rPr>
              <w:t>2</w:t>
            </w:r>
            <w:r>
              <w:rPr>
                <w:rFonts w:hint="eastAsia" w:ascii="宋体" w:hAnsi="宋体" w:eastAsia="宋体" w:cs="@仿宋_GB2312"/>
                <w:kern w:val="2"/>
                <w:sz w:val="24"/>
                <w:szCs w:val="22"/>
                <w:highlight w:val="none"/>
                <w:lang w:eastAsia="zh-CN"/>
              </w:rPr>
              <w:t>）</w:t>
            </w:r>
            <w:r>
              <w:rPr>
                <w:rFonts w:hint="eastAsia" w:ascii="宋体" w:hAnsi="宋体" w:eastAsia="宋体" w:cs="@仿宋_GB2312"/>
                <w:kern w:val="2"/>
                <w:sz w:val="24"/>
                <w:szCs w:val="22"/>
                <w:highlight w:val="none"/>
              </w:rPr>
              <w:t>项目的实施不得影响原有建筑的消防功能，确保满足消防相关规范和行业主管部门的要求。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4</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报价须知</w:t>
            </w:r>
          </w:p>
        </w:tc>
        <w:tc>
          <w:tcPr>
            <w:tcW w:w="3707" w:type="pct"/>
            <w:vAlign w:val="center"/>
          </w:tcPr>
          <w:p>
            <w:pPr>
              <w:spacing w:line="360" w:lineRule="auto"/>
              <w:rPr>
                <w:rFonts w:ascii="宋体" w:hAnsi="宋体" w:eastAsia="宋体" w:cs="@仿宋_GB2312"/>
                <w:kern w:val="2"/>
                <w:sz w:val="24"/>
                <w:szCs w:val="22"/>
                <w:highlight w:val="none"/>
              </w:rPr>
            </w:pPr>
            <w:r>
              <w:rPr>
                <w:rFonts w:ascii="宋体" w:hAnsi="宋体" w:eastAsia="宋体" w:cs="@仿宋_GB2312"/>
                <w:bCs/>
                <w:kern w:val="2"/>
                <w:sz w:val="24"/>
                <w:szCs w:val="28"/>
                <w:highlight w:val="none"/>
              </w:rPr>
              <w:t>供应商最后报价均不得高于磋商文件（公告）列明的项目预算</w:t>
            </w:r>
            <w:r>
              <w:rPr>
                <w:rFonts w:hint="eastAsia" w:ascii="宋体" w:hAnsi="宋体" w:eastAsia="宋体" w:cs="@仿宋_GB2312"/>
                <w:bCs/>
                <w:kern w:val="2"/>
                <w:sz w:val="24"/>
                <w:szCs w:val="28"/>
                <w:highlight w:val="none"/>
              </w:rPr>
              <w:t>、最高投标限价</w:t>
            </w:r>
            <w:r>
              <w:rPr>
                <w:rFonts w:ascii="宋体" w:hAnsi="宋体" w:eastAsia="宋体" w:cs="@仿宋_GB2312"/>
                <w:bCs/>
                <w:kern w:val="2"/>
                <w:sz w:val="24"/>
                <w:szCs w:val="28"/>
                <w:highlight w:val="none"/>
              </w:rPr>
              <w:t>，</w:t>
            </w:r>
            <w:r>
              <w:rPr>
                <w:rFonts w:ascii="宋体" w:hAnsi="宋体" w:eastAsia="宋体" w:cs="@仿宋_GB2312"/>
                <w:b/>
                <w:bCs w:val="0"/>
                <w:kern w:val="2"/>
                <w:sz w:val="24"/>
                <w:szCs w:val="28"/>
                <w:highlight w:val="none"/>
              </w:rPr>
              <w:t>否则其响应文件将被认定为响应无效</w:t>
            </w:r>
            <w:r>
              <w:rPr>
                <w:rFonts w:hint="eastAsia" w:ascii="宋体" w:hAnsi="宋体" w:eastAsia="宋体" w:cs="@仿宋_GB2312"/>
                <w:b/>
                <w:bCs w:val="0"/>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5</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重要说明</w:t>
            </w:r>
          </w:p>
        </w:tc>
        <w:tc>
          <w:tcPr>
            <w:tcW w:w="3707"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（1）本项目的磋商文件、工程量清单、最高投标限价、澄清、修改、补充等相关资料均通过电子服务系统发布，请供应商自行从网上下载，供应商应当及时查看有无相关澄清、修改、补充等内容。</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（2）在工程项目磋商过程中，供应商最后报价与公布的最高投标限价或项目概算相比降幅过小，或供应商最后报价明显缺乏竞争性的，磋商小组可以否决其报价。</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（3）外地建安企业磋商并成交后必须在项目所在地交纳相关税费。</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（4）承包人在工程实施过程中用工行为，必须严格执行国家及地方政府的有关规定，依法签订劳动合同，并按规定及时足额支付工资。</w:t>
            </w:r>
          </w:p>
          <w:p>
            <w:pPr>
              <w:spacing w:line="360" w:lineRule="auto"/>
              <w:rPr>
                <w:rFonts w:ascii="宋体" w:hAnsi="宋体" w:eastAsia="宋体" w:cs="@仿宋_GB2312"/>
                <w:kern w:val="2"/>
                <w:sz w:val="24"/>
                <w:szCs w:val="22"/>
                <w:highlight w:val="none"/>
              </w:rPr>
            </w:pPr>
            <w:r>
              <w:rPr>
                <w:rFonts w:hint="eastAsia" w:ascii="Calibri" w:hAnsi="Calibri" w:eastAsia="宋体" w:cs="@仿宋_GB2312"/>
                <w:kern w:val="2"/>
                <w:sz w:val="24"/>
                <w:szCs w:val="22"/>
                <w:highlight w:val="none"/>
              </w:rPr>
              <w:t>（5）建设工程不可竞争费构成及计费标准按 《关于调整合肥市建设工程不可竞争费构成及计费标准的通知》（合造价〔2021〕5号）执行，本工程最高投标限价已按规定的措施项目、费率和单价列出采购工程施工扬尘污染防治费用和建筑工人实名制管理费用清单，供应商应承诺报价中已包含采购文件公布的施工扬尘污染防治费用和建筑工人实名制管理费用。工程竣工结算时，未落实的施工扬尘污染防治和建筑工人实名制管理措施项目, 应按清单所列金额从工程结算价款中扣除。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ascii="宋体" w:hAnsi="宋体" w:eastAsia="宋体" w:cs="@仿宋_GB2312"/>
                <w:kern w:val="2"/>
                <w:sz w:val="24"/>
                <w:szCs w:val="22"/>
                <w:highlight w:val="none"/>
              </w:rPr>
              <w:t>6</w:t>
            </w:r>
          </w:p>
        </w:tc>
        <w:tc>
          <w:tcPr>
            <w:tcW w:w="75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项目经理</w:t>
            </w:r>
          </w:p>
          <w:p>
            <w:pPr>
              <w:spacing w:line="360" w:lineRule="auto"/>
              <w:rPr>
                <w:rFonts w:ascii="宋体" w:hAnsi="宋体" w:eastAsia="宋体" w:cs="@仿宋_GB2312"/>
                <w:kern w:val="2"/>
                <w:sz w:val="24"/>
                <w:szCs w:val="22"/>
                <w:highlight w:val="none"/>
              </w:rPr>
            </w:pPr>
          </w:p>
        </w:tc>
        <w:tc>
          <w:tcPr>
            <w:tcW w:w="3707" w:type="pct"/>
            <w:vAlign w:val="center"/>
          </w:tcPr>
          <w:p>
            <w:pPr>
              <w:spacing w:line="360" w:lineRule="auto"/>
              <w:rPr>
                <w:rFonts w:hint="eastAsia" w:ascii="Calibri" w:hAnsi="Calibri" w:eastAsia="宋体" w:cs="@仿宋_GB2312"/>
                <w:kern w:val="2"/>
                <w:sz w:val="24"/>
                <w:szCs w:val="22"/>
                <w:highlight w:val="yellow"/>
              </w:rPr>
            </w:pPr>
            <w:r>
              <w:rPr>
                <w:rFonts w:hint="eastAsia" w:ascii="Calibri" w:hAnsi="Calibri" w:eastAsia="宋体" w:cs="@仿宋_GB2312"/>
                <w:kern w:val="2"/>
                <w:sz w:val="24"/>
                <w:szCs w:val="22"/>
                <w:highlight w:val="none"/>
              </w:rPr>
              <w:t>具</w:t>
            </w:r>
            <w:r>
              <w:rPr>
                <w:rFonts w:hint="eastAsia" w:ascii="Calibri" w:hAnsi="Calibri" w:eastAsia="宋体" w:cs="@仿宋_GB2312"/>
                <w:kern w:val="2"/>
                <w:sz w:val="24"/>
                <w:szCs w:val="22"/>
                <w:highlight w:val="none"/>
                <w:lang w:val="en-US" w:eastAsia="zh-CN"/>
              </w:rPr>
              <w:t>有建筑</w:t>
            </w:r>
            <w:r>
              <w:rPr>
                <w:rFonts w:hint="eastAsia" w:ascii="Calibri" w:hAnsi="Calibri" w:eastAsia="宋体" w:cs="@仿宋_GB2312"/>
                <w:kern w:val="2"/>
                <w:sz w:val="24"/>
                <w:szCs w:val="22"/>
                <w:highlight w:val="none"/>
              </w:rPr>
              <w:t>工程专业二级及以上注册建造师执业资格</w:t>
            </w:r>
            <w:r>
              <w:rPr>
                <w:rFonts w:hint="eastAsia" w:ascii="Calibri" w:hAnsi="Calibri" w:eastAsia="宋体" w:cs="@仿宋_GB2312"/>
                <w:kern w:val="2"/>
                <w:sz w:val="24"/>
                <w:szCs w:val="22"/>
                <w:highlight w:val="none"/>
                <w:lang w:eastAsia="zh-CN"/>
              </w:rPr>
              <w:t>，</w:t>
            </w:r>
            <w:r>
              <w:rPr>
                <w:rFonts w:hint="eastAsia" w:ascii="Calibri" w:hAnsi="Calibri" w:eastAsia="宋体" w:cs="@仿宋_GB2312"/>
                <w:kern w:val="2"/>
                <w:sz w:val="24"/>
                <w:szCs w:val="22"/>
                <w:highlight w:val="none"/>
                <w:lang w:val="en-US" w:eastAsia="zh-CN"/>
              </w:rPr>
              <w:t>具备住房和城乡建设主管部门颁发的安全生产考核合格证书（B证）</w:t>
            </w:r>
            <w:r>
              <w:rPr>
                <w:rFonts w:hint="eastAsia" w:ascii="Calibri" w:hAnsi="Calibri" w:eastAsia="宋体" w:cs="@仿宋_GB2312"/>
                <w:kern w:val="2"/>
                <w:sz w:val="24"/>
                <w:szCs w:val="22"/>
                <w:highlight w:val="none"/>
                <w:lang w:eastAsia="zh-CN"/>
              </w:rPr>
              <w:t>。</w:t>
            </w:r>
          </w:p>
          <w:p>
            <w:pPr>
              <w:spacing w:line="360" w:lineRule="auto"/>
              <w:rPr>
                <w:rFonts w:ascii="宋体" w:hAnsi="宋体" w:eastAsia="宋体" w:cs="@仿宋_GB2312"/>
                <w:kern w:val="2"/>
                <w:sz w:val="24"/>
                <w:szCs w:val="22"/>
                <w:highlight w:val="none"/>
              </w:rPr>
            </w:pPr>
            <w:r>
              <w:rPr>
                <w:rFonts w:hint="eastAsia" w:ascii="Calibri" w:hAnsi="Calibri" w:eastAsia="宋体" w:cs="@仿宋_GB2312"/>
                <w:b/>
                <w:bCs/>
                <w:kern w:val="2"/>
                <w:sz w:val="24"/>
                <w:szCs w:val="22"/>
                <w:highlight w:val="none"/>
                <w:lang w:val="en-US" w:eastAsia="zh-CN"/>
              </w:rPr>
              <w:t>注： 具体证明材料要求详见第四章《评审方法和标准》 中初审表“项目经理”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hint="eastAsia"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lang w:val="en-US" w:eastAsia="zh-CN"/>
              </w:rPr>
              <w:t>7</w:t>
            </w:r>
          </w:p>
        </w:tc>
        <w:tc>
          <w:tcPr>
            <w:tcW w:w="758" w:type="pct"/>
            <w:vAlign w:val="center"/>
          </w:tcPr>
          <w:p>
            <w:pPr>
              <w:widowControl w:val="0"/>
              <w:spacing w:before="0" w:beforeAutospacing="0" w:after="0" w:afterAutospacing="0" w:line="360" w:lineRule="auto"/>
              <w:jc w:val="both"/>
              <w:rPr>
                <w:rFonts w:ascii="宋体" w:hAnsi="宋体" w:eastAsia="宋体" w:cs="@仿宋_GB2312"/>
                <w:b/>
                <w:bCs/>
                <w:kern w:val="2"/>
                <w:sz w:val="24"/>
                <w:szCs w:val="22"/>
                <w:highlight w:val="none"/>
                <w:lang w:val="en-US" w:eastAsia="zh-CN" w:bidi="ar-SA"/>
              </w:rPr>
            </w:pPr>
            <w:r>
              <w:rPr>
                <w:rFonts w:hint="eastAsia" w:ascii="宋体" w:hAnsi="宋体" w:eastAsia="宋体" w:cs="Times New Roman"/>
                <w:b w:val="0"/>
                <w:bCs/>
                <w:kern w:val="2"/>
                <w:sz w:val="24"/>
                <w:szCs w:val="28"/>
                <w:highlight w:val="none"/>
                <w:lang w:val="en-US" w:eastAsia="zh-CN" w:bidi="ar-SA"/>
              </w:rPr>
              <w:t>工程款（进度款）支付的方式和时间</w:t>
            </w:r>
          </w:p>
        </w:tc>
        <w:tc>
          <w:tcPr>
            <w:tcW w:w="3707" w:type="pct"/>
            <w:vAlign w:val="center"/>
          </w:tcPr>
          <w:p>
            <w:pPr>
              <w:spacing w:line="360" w:lineRule="auto"/>
              <w:jc w:val="left"/>
              <w:rPr>
                <w:rFonts w:ascii="Calibri" w:hAnsi="Calibri" w:eastAsia="宋体" w:cs="宋体"/>
                <w:bCs/>
                <w:kern w:val="2"/>
                <w:sz w:val="24"/>
                <w:szCs w:val="28"/>
                <w:highlight w:val="green"/>
              </w:rPr>
            </w:pPr>
            <w:r>
              <w:rPr>
                <w:rFonts w:hint="eastAsia" w:ascii="Calibri" w:hAnsi="Calibri" w:eastAsia="宋体" w:cs="宋体"/>
                <w:bCs/>
                <w:kern w:val="2"/>
                <w:sz w:val="24"/>
                <w:szCs w:val="28"/>
              </w:rPr>
              <w:t>合同内容全部完成后，付至实际工程量且不得超过合同金额的80%，验收合格且工程结算审定后付至结算价款的97%，剩余价款作为质保金，质量缺陷期（2年）满无质量问题一次性付清。</w:t>
            </w:r>
          </w:p>
          <w:p>
            <w:pPr>
              <w:adjustRightInd w:val="0"/>
              <w:spacing w:line="360" w:lineRule="auto"/>
              <w:rPr>
                <w:rFonts w:hint="eastAsia" w:ascii="Calibri" w:hAnsi="Calibri" w:eastAsia="宋体" w:cs="@仿宋_GB2312"/>
                <w:b/>
                <w:bCs/>
                <w:kern w:val="2"/>
                <w:sz w:val="24"/>
                <w:szCs w:val="22"/>
                <w:highlight w:val="none"/>
                <w:lang w:val="en-US" w:eastAsia="zh-CN"/>
              </w:rPr>
            </w:pPr>
            <w:r>
              <w:rPr>
                <w:rFonts w:hint="eastAsia" w:ascii="宋体" w:hAnsi="宋体" w:eastAsia="宋体" w:cs="宋体"/>
                <w:b/>
                <w:bCs w:val="0"/>
                <w:color w:val="auto"/>
                <w:kern w:val="2"/>
                <w:sz w:val="24"/>
                <w:szCs w:val="28"/>
              </w:rPr>
              <w:t>注：如成交供应商采用“银行保函或保证保险等方式”提交等额工程质量保证金，则在工程竣工结算审计完成后采购人应付至最终审定价款的100%。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宋体" w:hAnsi="宋体" w:eastAsia="宋体" w:cs="@仿宋_GB2312"/>
                <w:kern w:val="2"/>
                <w:sz w:val="24"/>
                <w:szCs w:val="22"/>
                <w:highlight w:val="none"/>
              </w:rPr>
            </w:pPr>
            <w:r>
              <w:rPr>
                <w:rFonts w:ascii="宋体" w:hAnsi="宋体" w:eastAsia="宋体" w:cs="@仿宋_GB2312"/>
                <w:kern w:val="2"/>
                <w:sz w:val="24"/>
                <w:szCs w:val="22"/>
                <w:highlight w:val="none"/>
              </w:rPr>
              <w:t>8</w:t>
            </w:r>
          </w:p>
        </w:tc>
        <w:tc>
          <w:tcPr>
            <w:tcW w:w="758" w:type="pct"/>
            <w:vAlign w:val="center"/>
          </w:tcPr>
          <w:p>
            <w:pPr>
              <w:widowControl w:val="0"/>
              <w:spacing w:before="0" w:beforeAutospacing="0" w:after="0" w:afterAutospacing="0" w:line="360" w:lineRule="auto"/>
              <w:jc w:val="center"/>
              <w:rPr>
                <w:rFonts w:ascii="宋体" w:hAnsi="宋体" w:eastAsia="宋体" w:cs="@仿宋_GB2312"/>
                <w:b/>
                <w:bCs/>
                <w:kern w:val="2"/>
                <w:sz w:val="24"/>
                <w:szCs w:val="28"/>
                <w:highlight w:val="none"/>
                <w:lang w:val="en-US" w:eastAsia="zh-CN" w:bidi="ar-SA"/>
              </w:rPr>
            </w:pPr>
            <w:r>
              <w:rPr>
                <w:rFonts w:hint="eastAsia" w:ascii="Calibri" w:hAnsi="Calibri" w:eastAsia="宋体" w:cs="Times New Roman"/>
                <w:b w:val="0"/>
                <w:bCs/>
                <w:kern w:val="2"/>
                <w:sz w:val="24"/>
                <w:szCs w:val="28"/>
                <w:highlight w:val="none"/>
                <w:lang w:val="en-US" w:eastAsia="zh-CN" w:bidi="ar-SA"/>
              </w:rPr>
              <w:t>本项目采购标的名称及所属行业</w:t>
            </w:r>
          </w:p>
        </w:tc>
        <w:tc>
          <w:tcPr>
            <w:tcW w:w="3707" w:type="pct"/>
            <w:vAlign w:val="center"/>
          </w:tcPr>
          <w:p>
            <w:pPr>
              <w:spacing w:line="360" w:lineRule="auto"/>
              <w:jc w:val="left"/>
              <w:rPr>
                <w:rFonts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标的名称：淮北师范大学艺术文献收藏馆工程</w:t>
            </w:r>
          </w:p>
          <w:p>
            <w:pPr>
              <w:rPr>
                <w:rFonts w:ascii="Calibri" w:hAnsi="Calibri" w:eastAsia="宋体" w:cs="Times New Roman"/>
                <w:kern w:val="2"/>
                <w:sz w:val="24"/>
                <w:szCs w:val="22"/>
                <w:highlight w:val="none"/>
              </w:rPr>
            </w:pPr>
            <w:r>
              <w:rPr>
                <w:rFonts w:hint="eastAsia" w:ascii="宋体" w:hAnsi="宋体" w:eastAsia="宋体" w:cs="Times New Roman"/>
                <w:kern w:val="2"/>
                <w:sz w:val="24"/>
                <w:szCs w:val="22"/>
                <w:highlight w:val="none"/>
              </w:rPr>
              <w:t>所属行业：建筑业</w:t>
            </w:r>
          </w:p>
        </w:tc>
      </w:tr>
    </w:tbl>
    <w:p>
      <w:pPr>
        <w:adjustRightInd w:val="0"/>
        <w:snapToGrid w:val="0"/>
        <w:spacing w:line="440" w:lineRule="exact"/>
        <w:outlineLvl w:val="1"/>
        <w:rPr>
          <w:rFonts w:ascii="宋体" w:hAnsi="宋体" w:eastAsia="宋体" w:cs="Times New Roman"/>
          <w:b/>
          <w:bCs/>
          <w:kern w:val="0"/>
          <w:sz w:val="24"/>
        </w:rPr>
      </w:pPr>
      <w:bookmarkStart w:id="0" w:name="_Toc21784"/>
      <w:r>
        <w:rPr>
          <w:rFonts w:hint="eastAsia" w:ascii="宋体" w:hAnsi="宋体" w:eastAsia="宋体" w:cs="Times New Roman"/>
          <w:b/>
          <w:bCs/>
          <w:kern w:val="0"/>
          <w:sz w:val="24"/>
        </w:rPr>
        <w:t>一、工程概况</w:t>
      </w:r>
      <w:bookmarkEnd w:id="0"/>
    </w:p>
    <w:p>
      <w:pPr>
        <w:spacing w:line="360" w:lineRule="auto"/>
        <w:ind w:firstLine="480" w:firstLineChars="200"/>
        <w:rPr>
          <w:rFonts w:ascii="宋体" w:hAnsi="宋体" w:eastAsia="宋体" w:cs="Times New Roman"/>
          <w:kern w:val="0"/>
          <w:sz w:val="20"/>
          <w:highlight w:val="none"/>
        </w:rPr>
      </w:pPr>
      <w:r>
        <w:rPr>
          <w:rFonts w:hint="eastAsia" w:ascii="宋体" w:hAnsi="宋体" w:eastAsia="宋体" w:cs="Times New Roman"/>
          <w:kern w:val="0"/>
          <w:sz w:val="24"/>
        </w:rPr>
        <w:t xml:space="preserve"> </w:t>
      </w:r>
      <w:r>
        <w:rPr>
          <w:rFonts w:hint="eastAsia" w:ascii="宋体" w:hAnsi="宋体" w:eastAsia="宋体" w:cs="Times New Roman"/>
          <w:kern w:val="0"/>
          <w:sz w:val="24"/>
          <w:szCs w:val="18"/>
        </w:rPr>
        <w:t>本项目位于滨湖校区图书馆夹层，建筑面积约1658 平方米。艺术文献收藏馆功能为图书馆艺术文献展示、收藏，且图书馆项目已建成投入使用。图书馆夹层现状为封闭空间，墙面、楼面、顶面为砼或砂浆面层，上下水、强弱电、消防、电梯</w:t>
      </w:r>
      <w:r>
        <w:rPr>
          <w:rFonts w:hint="eastAsia" w:ascii="宋体" w:hAnsi="宋体" w:eastAsia="宋体" w:cs="Times New Roman"/>
          <w:kern w:val="0"/>
          <w:sz w:val="24"/>
          <w:szCs w:val="18"/>
          <w:highlight w:val="none"/>
        </w:rPr>
        <w:t>等均未布设(均只布设至第九层)，步梯可达本层。本次采购范围主要包括艺术文献收藏馆装饰装修、结构改造、照明系统、消防系统、电梯改造等。</w:t>
      </w:r>
    </w:p>
    <w:p>
      <w:pPr>
        <w:spacing w:line="360" w:lineRule="auto"/>
        <w:ind w:left="241" w:hanging="241" w:hangingChars="100"/>
        <w:jc w:val="left"/>
        <w:rPr>
          <w:rFonts w:ascii="宋体" w:hAnsi="宋体" w:eastAsia="宋体" w:cs="宋体"/>
          <w:b/>
          <w:bCs/>
          <w:kern w:val="2"/>
          <w:sz w:val="24"/>
          <w:szCs w:val="22"/>
          <w:highlight w:val="none"/>
        </w:rPr>
      </w:pPr>
      <w:r>
        <w:rPr>
          <w:rFonts w:hint="eastAsia" w:ascii="宋体" w:hAnsi="宋体" w:eastAsia="宋体" w:cs="宋体"/>
          <w:b/>
          <w:bCs/>
          <w:kern w:val="2"/>
          <w:sz w:val="24"/>
          <w:szCs w:val="22"/>
          <w:highlight w:val="none"/>
        </w:rPr>
        <w:t>二、本项目最高限价为（人民币）：</w:t>
      </w:r>
      <w:r>
        <w:rPr>
          <w:rFonts w:hint="eastAsia" w:ascii="宋体" w:hAnsi="宋体" w:eastAsia="宋体" w:cs="宋体"/>
          <w:b/>
          <w:bCs/>
          <w:kern w:val="2"/>
          <w:sz w:val="24"/>
          <w:szCs w:val="22"/>
          <w:highlight w:val="none"/>
          <w:u w:val="single"/>
        </w:rPr>
        <w:t xml:space="preserve"> </w:t>
      </w:r>
      <w:r>
        <w:rPr>
          <w:rFonts w:ascii="宋体" w:hAnsi="宋体" w:eastAsia="宋体" w:cs="宋体"/>
          <w:b/>
          <w:bCs/>
          <w:kern w:val="2"/>
          <w:sz w:val="24"/>
          <w:szCs w:val="22"/>
          <w:highlight w:val="none"/>
          <w:u w:val="single"/>
        </w:rPr>
        <w:t>3882758.95</w:t>
      </w:r>
      <w:r>
        <w:rPr>
          <w:rFonts w:hint="eastAsia" w:ascii="宋体" w:hAnsi="宋体" w:eastAsia="宋体" w:cs="宋体"/>
          <w:b/>
          <w:bCs/>
          <w:kern w:val="2"/>
          <w:sz w:val="24"/>
          <w:szCs w:val="22"/>
          <w:highlight w:val="none"/>
          <w:u w:val="single"/>
        </w:rPr>
        <w:t xml:space="preserve"> </w:t>
      </w:r>
      <w:r>
        <w:rPr>
          <w:rFonts w:hint="eastAsia" w:ascii="宋体" w:hAnsi="宋体" w:eastAsia="宋体" w:cs="宋体"/>
          <w:b/>
          <w:bCs/>
          <w:kern w:val="2"/>
          <w:sz w:val="24"/>
          <w:szCs w:val="22"/>
          <w:highlight w:val="none"/>
        </w:rPr>
        <w:t xml:space="preserve">元（大写：叁佰捌拾捌万贰仟柒佰伍拾捌圆玖角伍分），含暂列金额 </w:t>
      </w:r>
      <w:r>
        <w:rPr>
          <w:rFonts w:hint="eastAsia" w:ascii="宋体" w:hAnsi="宋体" w:eastAsia="宋体" w:cs="宋体"/>
          <w:b/>
          <w:bCs/>
          <w:kern w:val="2"/>
          <w:sz w:val="24"/>
          <w:szCs w:val="22"/>
          <w:highlight w:val="none"/>
          <w:u w:val="single"/>
        </w:rPr>
        <w:t xml:space="preserve"> </w:t>
      </w:r>
      <w:r>
        <w:rPr>
          <w:rFonts w:ascii="宋体" w:hAnsi="宋体" w:eastAsia="宋体" w:cs="宋体"/>
          <w:b/>
          <w:bCs/>
          <w:kern w:val="2"/>
          <w:sz w:val="24"/>
          <w:szCs w:val="22"/>
          <w:highlight w:val="none"/>
          <w:u w:val="single"/>
        </w:rPr>
        <w:t xml:space="preserve">350000 </w:t>
      </w:r>
      <w:r>
        <w:rPr>
          <w:rFonts w:hint="eastAsia" w:ascii="宋体" w:hAnsi="宋体" w:eastAsia="宋体" w:cs="宋体"/>
          <w:b/>
          <w:bCs/>
          <w:kern w:val="2"/>
          <w:sz w:val="24"/>
          <w:szCs w:val="22"/>
          <w:highlight w:val="none"/>
        </w:rPr>
        <w:t>元，此控制价含税费、人员工资、材料、保险、安全、环保等与工程相关的所有费用。</w:t>
      </w:r>
    </w:p>
    <w:p>
      <w:pPr>
        <w:spacing w:line="360" w:lineRule="auto"/>
        <w:rPr>
          <w:rFonts w:ascii="宋体" w:hAnsi="宋体" w:eastAsia="宋体" w:cs="宋体"/>
          <w:b/>
          <w:kern w:val="0"/>
          <w:sz w:val="28"/>
        </w:rPr>
      </w:pPr>
      <w:r>
        <w:rPr>
          <w:rFonts w:hint="eastAsia" w:ascii="宋体" w:hAnsi="宋体" w:eastAsia="宋体" w:cs="宋体"/>
          <w:kern w:val="2"/>
          <w:sz w:val="24"/>
          <w:szCs w:val="22"/>
        </w:rPr>
        <w:t>三、工期要求：120日历天。</w:t>
      </w:r>
    </w:p>
    <w:p>
      <w:pPr>
        <w:spacing w:line="360" w:lineRule="auto"/>
        <w:ind w:firstLine="480" w:firstLineChars="200"/>
        <w:rPr>
          <w:rFonts w:hint="default" w:ascii="宋体" w:hAnsi="宋体" w:eastAsia="宋体" w:cs="Times New Roman"/>
          <w:kern w:val="0"/>
          <w:sz w:val="24"/>
          <w:highlight w:val="none"/>
          <w:lang w:val="en-US" w:eastAsia="zh-CN"/>
        </w:rPr>
      </w:pPr>
      <w:r>
        <w:rPr>
          <w:rFonts w:ascii="宋体" w:hAnsi="宋体" w:eastAsia="宋体" w:cs="Times New Roman"/>
          <w:kern w:val="0"/>
          <w:sz w:val="24"/>
          <w:highlight w:val="none"/>
        </w:rPr>
        <w:br w:type="page"/>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52</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64</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62</w:t>
            </w:r>
            <w:r>
              <w:rPr>
                <w:rFonts w:asciiTheme="minorEastAsia" w:hAnsiTheme="minorEastAsia" w:eastAsiaTheme="minorEastAsia"/>
                <w:b/>
                <w:bCs/>
                <w:sz w:val="21"/>
                <w:szCs w:val="21"/>
              </w:rPr>
              <w:fldChar w:fldCharType="end"/>
            </w:r>
          </w:sdtContent>
        </w:sdt>
        <w:r>
          <w:rPr>
            <w:rFonts w:hint="eastAsia" w:asciiTheme="minorEastAsia" w:hAnsiTheme="minorEastAsia" w:eastAsiaTheme="minorEastAsia"/>
            <w:sz w:val="21"/>
            <w:szCs w:val="21"/>
          </w:rPr>
          <w:t xml:space="preserve"> 页</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mJmZmU3MzFkZmJhNmRhMWFiMjM5YTVmMWQ2NWUifQ=="/>
  </w:docVars>
  <w:rsids>
    <w:rsidRoot w:val="4B541D48"/>
    <w:rsid w:val="15DB43E0"/>
    <w:rsid w:val="1B595246"/>
    <w:rsid w:val="25DD6C9F"/>
    <w:rsid w:val="2BC007F3"/>
    <w:rsid w:val="2FC53180"/>
    <w:rsid w:val="3B3241AD"/>
    <w:rsid w:val="4B541D48"/>
    <w:rsid w:val="51C44C45"/>
    <w:rsid w:val="5BB32633"/>
    <w:rsid w:val="60E3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left="420" w:firstLine="420" w:firstLineChars="200"/>
    </w:pPr>
    <w:rPr>
      <w:rFonts w:ascii="Times New Roman" w:cs="Times New Roman"/>
    </w:rPr>
  </w:style>
  <w:style w:type="paragraph" w:styleId="3">
    <w:name w:val="Body Text Indent"/>
    <w:basedOn w:val="1"/>
    <w:next w:val="4"/>
    <w:autoRedefine/>
    <w:unhideWhenUsed/>
    <w:qFormat/>
    <w:uiPriority w:val="0"/>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5">
    <w:name w:val="List"/>
    <w:basedOn w:val="1"/>
    <w:qFormat/>
    <w:uiPriority w:val="0"/>
    <w:pPr>
      <w:ind w:left="200" w:hanging="200" w:hangingChars="200"/>
    </w:pPr>
    <w:rPr>
      <w:rFonts w:ascii="Calibri" w:hAnsi="Calibri" w:cs="Times New Roman"/>
      <w:kern w:val="2"/>
      <w:sz w:val="21"/>
      <w:szCs w:val="22"/>
    </w:rPr>
  </w:style>
  <w:style w:type="paragraph" w:styleId="7">
    <w:name w:val="toc 7"/>
    <w:basedOn w:val="1"/>
    <w:next w:val="1"/>
    <w:autoRedefine/>
    <w:qFormat/>
    <w:uiPriority w:val="0"/>
    <w:pPr>
      <w:ind w:left="1260"/>
      <w:jc w:val="left"/>
    </w:pPr>
    <w:rPr>
      <w:rFonts w:ascii="Calibri" w:hAnsi="Calibri" w:cs="Calibri"/>
      <w:sz w:val="20"/>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index 4"/>
    <w:basedOn w:val="1"/>
    <w:next w:val="1"/>
    <w:autoRedefine/>
    <w:semiHidden/>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paragraph" w:customStyle="1" w:styleId="16">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7">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18">
    <w:name w:val="Body text (2)_"/>
    <w:link w:val="19"/>
    <w:autoRedefine/>
    <w:qFormat/>
    <w:uiPriority w:val="0"/>
    <w:rPr>
      <w:rFonts w:ascii="MingLiU" w:hAnsi="Times New Roman" w:eastAsia="MingLiU" w:cs="Times New Roman"/>
      <w:sz w:val="22"/>
      <w:szCs w:val="22"/>
      <w:lang w:val="en-US" w:eastAsia="zh-CN" w:bidi="ar-SA"/>
    </w:rPr>
  </w:style>
  <w:style w:type="paragraph" w:customStyle="1" w:styleId="19">
    <w:name w:val="Body text (2)1"/>
    <w:link w:val="18"/>
    <w:autoRedefine/>
    <w:qFormat/>
    <w:uiPriority w:val="0"/>
    <w:pPr>
      <w:shd w:val="clear" w:color="auto" w:fill="FFFFFF"/>
      <w:spacing w:line="312" w:lineRule="exact"/>
      <w:ind w:hanging="120"/>
      <w:jc w:val="center"/>
    </w:pPr>
    <w:rPr>
      <w:rFonts w:ascii="MingLiU" w:hAnsi="Times New Roman" w:eastAsia="MingLiU" w:cs="Times New Roman"/>
      <w:sz w:val="22"/>
      <w:szCs w:val="22"/>
      <w:lang w:val="en-US" w:eastAsia="zh-CN" w:bidi="ar-SA"/>
    </w:rPr>
  </w:style>
  <w:style w:type="paragraph" w:customStyle="1" w:styleId="20">
    <w:name w:val="Body text (4)1"/>
    <w:link w:val="21"/>
    <w:autoRedefine/>
    <w:qFormat/>
    <w:uiPriority w:val="0"/>
    <w:pPr>
      <w:widowControl w:val="0"/>
      <w:shd w:val="clear" w:color="auto" w:fill="FFFFFF"/>
      <w:spacing w:line="466" w:lineRule="exact"/>
      <w:ind w:hanging="500"/>
      <w:jc w:val="both"/>
    </w:pPr>
    <w:rPr>
      <w:rFonts w:ascii="MingLiU" w:hAnsi="Times New Roman" w:eastAsia="MingLiU" w:cs="Times New Roman"/>
      <w:sz w:val="22"/>
      <w:szCs w:val="22"/>
      <w:lang w:val="en-US" w:eastAsia="zh-CN" w:bidi="ar-SA"/>
    </w:rPr>
  </w:style>
  <w:style w:type="character" w:customStyle="1" w:styleId="21">
    <w:name w:val="Body text (4)_"/>
    <w:link w:val="20"/>
    <w:autoRedefine/>
    <w:qFormat/>
    <w:uiPriority w:val="0"/>
    <w:rPr>
      <w:rFonts w:ascii="MingLiU" w:hAnsi="Times New Roman" w:eastAsia="MingLiU" w:cs="Times New Roman"/>
      <w:sz w:val="22"/>
      <w:szCs w:val="22"/>
      <w:lang w:val="en-US" w:eastAsia="zh-CN" w:bidi="ar-SA"/>
    </w:rPr>
  </w:style>
  <w:style w:type="character" w:customStyle="1" w:styleId="22">
    <w:name w:val="Heading #5_"/>
    <w:link w:val="23"/>
    <w:autoRedefine/>
    <w:qFormat/>
    <w:uiPriority w:val="0"/>
    <w:rPr>
      <w:rFonts w:ascii="MingLiU" w:hAnsi="Times New Roman" w:eastAsia="MingLiU" w:cs="Times New Roman"/>
      <w:sz w:val="22"/>
      <w:szCs w:val="22"/>
      <w:lang w:val="en-US" w:eastAsia="zh-CN" w:bidi="ar-SA"/>
    </w:rPr>
  </w:style>
  <w:style w:type="paragraph" w:customStyle="1" w:styleId="23">
    <w:name w:val="Heading #51"/>
    <w:link w:val="22"/>
    <w:autoRedefine/>
    <w:qFormat/>
    <w:uiPriority w:val="0"/>
    <w:pPr>
      <w:widowControl w:val="0"/>
      <w:shd w:val="clear" w:color="auto" w:fill="FFFFFF"/>
      <w:spacing w:line="466" w:lineRule="exact"/>
      <w:jc w:val="distribute"/>
      <w:outlineLvl w:val="4"/>
    </w:pPr>
    <w:rPr>
      <w:rFonts w:ascii="MingLiU" w:hAnsi="Times New Roman" w:eastAsia="MingLiU" w:cs="Times New Roman"/>
      <w:sz w:val="22"/>
      <w:szCs w:val="22"/>
      <w:lang w:val="en-US" w:eastAsia="zh-CN" w:bidi="ar-SA"/>
    </w:rPr>
  </w:style>
  <w:style w:type="character" w:customStyle="1" w:styleId="24">
    <w:name w:val="Body text (5)5"/>
    <w:autoRedefine/>
    <w:qFormat/>
    <w:uiPriority w:val="0"/>
    <w:rPr>
      <w:rFonts w:ascii="MingLiU" w:eastAsia="MingLiU" w:cs="MingLiU"/>
      <w:spacing w:val="-10"/>
      <w:sz w:val="22"/>
      <w:szCs w:val="22"/>
      <w:u w:val="none"/>
      <w:lang w:bidi="ar-SA"/>
    </w:rPr>
  </w:style>
  <w:style w:type="character" w:customStyle="1" w:styleId="25">
    <w:name w:val="Body text (2)4"/>
    <w:autoRedefine/>
    <w:qFormat/>
    <w:uiPriority w:val="0"/>
    <w:rPr>
      <w:rFonts w:ascii="MingLiU" w:eastAsia="MingLiU"/>
      <w:spacing w:val="0"/>
      <w:sz w:val="22"/>
      <w:szCs w:val="22"/>
      <w:lang w:bidi="ar-SA"/>
    </w:rPr>
  </w:style>
  <w:style w:type="table" w:customStyle="1" w:styleId="26">
    <w:name w:val="网格型2"/>
    <w:basedOn w:val="12"/>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2023-12-27T08:16:00Z</dcterms:created>
  <dc:creator>陶淑敏</dc:creator>
  <cp:lastModifiedBy>陶淑敏</cp:lastModifiedBy>
  <dcterms:modified xsi:type="dcterms:W3CDTF">2024-01-19T05:53:37Z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06B720108F704C19A2F3BA096FD67112_11</vt:lpwstr>
  </property>
</Properties>
</file>