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010F5">
      <w:pPr>
        <w:spacing w:line="600" w:lineRule="exact"/>
        <w:jc w:val="center"/>
        <w:rPr>
          <w:rFonts w:ascii="方正小标宋简体" w:hAnsi="方正小标宋简体" w:eastAsia="方正小标宋简体" w:cs="方正小标宋简体"/>
          <w:spacing w:val="-17"/>
          <w:sz w:val="44"/>
          <w:szCs w:val="44"/>
        </w:rPr>
      </w:pPr>
      <w:bookmarkStart w:id="1" w:name="_GoBack"/>
      <w:bookmarkEnd w:id="1"/>
      <w:bookmarkStart w:id="0" w:name="PO_Content"/>
      <w:r>
        <w:rPr>
          <w:rFonts w:hint="eastAsia" w:ascii="方正小标宋简体" w:hAnsi="方正小标宋简体" w:eastAsia="方正小标宋简体" w:cs="方正小标宋简体"/>
          <w:spacing w:val="-17"/>
          <w:sz w:val="44"/>
          <w:szCs w:val="44"/>
        </w:rPr>
        <w:t>淮北师范大学“双特色”建设工作实施方案（2024-2027）</w:t>
      </w:r>
    </w:p>
    <w:p w14:paraId="07EEA9ED">
      <w:pPr>
        <w:spacing w:line="600" w:lineRule="exact"/>
        <w:ind w:firstLine="640" w:firstLineChars="200"/>
        <w:rPr>
          <w:rFonts w:ascii="仿宋_GB2312"/>
          <w:szCs w:val="32"/>
        </w:rPr>
      </w:pPr>
    </w:p>
    <w:p w14:paraId="6BC6F9D0">
      <w:pPr>
        <w:spacing w:line="580" w:lineRule="exact"/>
        <w:ind w:firstLine="640" w:firstLineChars="200"/>
        <w:rPr>
          <w:rFonts w:ascii="仿宋_GB2312"/>
          <w:szCs w:val="32"/>
        </w:rPr>
      </w:pPr>
      <w:r>
        <w:rPr>
          <w:rFonts w:hint="eastAsia" w:ascii="仿宋_GB2312"/>
          <w:szCs w:val="32"/>
        </w:rPr>
        <w:t>根据《安徽省教育厅关于公布高校“双特色”建设（培育）项目名单的通知》，学校“双特色”建设工作正式启动实施。为</w:t>
      </w:r>
      <w:r>
        <w:rPr>
          <w:rFonts w:hint="eastAsia"/>
          <w:color w:val="000000"/>
          <w:spacing w:val="6"/>
          <w:szCs w:val="32"/>
        </w:rPr>
        <w:t>完整、准确、全面贯彻新发展理念，</w:t>
      </w:r>
      <w:r>
        <w:rPr>
          <w:rFonts w:hint="eastAsia" w:ascii="仿宋_GB2312"/>
          <w:szCs w:val="32"/>
        </w:rPr>
        <w:t>充分挖掘学校现有基础，广泛利用校内外优秀资源，破解建设发展难题，确保顺利完成“十四五”目标任务，谋划实施“十五五”事业发展规划，实现学校高质量发展奠定基础、蓄势聚力，特制订本实施方案。</w:t>
      </w:r>
    </w:p>
    <w:p w14:paraId="209C51BB">
      <w:pPr>
        <w:spacing w:line="600" w:lineRule="exact"/>
        <w:ind w:firstLine="640" w:firstLineChars="200"/>
        <w:rPr>
          <w:rFonts w:ascii="楷体" w:hAnsi="楷体" w:eastAsia="楷体" w:cs="楷体"/>
          <w:szCs w:val="32"/>
        </w:rPr>
      </w:pPr>
      <w:r>
        <w:rPr>
          <w:rFonts w:hint="eastAsia" w:ascii="黑体" w:hAnsi="黑体" w:eastAsia="黑体"/>
          <w:szCs w:val="32"/>
        </w:rPr>
        <w:t>一、</w:t>
      </w:r>
      <w:r>
        <w:rPr>
          <w:rFonts w:hint="eastAsia" w:ascii="黑体" w:hAnsi="黑体" w:eastAsia="黑体" w:cs="黑体"/>
          <w:szCs w:val="32"/>
        </w:rPr>
        <w:t xml:space="preserve">指导思想 </w:t>
      </w:r>
    </w:p>
    <w:p w14:paraId="6590E8E9">
      <w:pPr>
        <w:spacing w:line="600" w:lineRule="exact"/>
        <w:ind w:firstLine="640" w:firstLineChars="200"/>
        <w:rPr>
          <w:rFonts w:ascii="仿宋_GB2312"/>
          <w:szCs w:val="32"/>
        </w:rPr>
      </w:pPr>
      <w:r>
        <w:rPr>
          <w:rFonts w:hint="eastAsia" w:ascii="仿宋_GB2312"/>
          <w:szCs w:val="32"/>
        </w:rPr>
        <w:t>坚持以习近平新时代中国特色社会主义思想为指导，全面贯彻落实党的二十大和二十届二中、三中全会精神,</w:t>
      </w:r>
      <w:r>
        <w:rPr>
          <w:rFonts w:hint="eastAsia"/>
        </w:rPr>
        <w:t xml:space="preserve"> </w:t>
      </w:r>
      <w:r>
        <w:rPr>
          <w:rFonts w:hint="eastAsia" w:ascii="仿宋_GB2312"/>
          <w:szCs w:val="32"/>
        </w:rPr>
        <w:t>深入学习贯彻习近平总书记关于教育的重要论述、关于安徽工作的重要讲话指示批示精神和全国教育大会精神，</w:t>
      </w:r>
      <w:r>
        <w:rPr>
          <w:rFonts w:hint="eastAsia"/>
          <w:color w:val="000000"/>
          <w:spacing w:val="6"/>
          <w:szCs w:val="32"/>
        </w:rPr>
        <w:t>深刻把握教育、科技、人才“三位一体”内在逻辑和实践要求。学习贯彻</w:t>
      </w:r>
      <w:r>
        <w:rPr>
          <w:rFonts w:hint="eastAsia" w:ascii="仿宋_GB2312"/>
          <w:szCs w:val="32"/>
        </w:rPr>
        <w:t>省委省政府《关于深度融入长三角一体化发展国家战略推动高质量发展的指导意见》和《安徽省人民政府办公厅关于高质量建设特色高校特色学科专业的指导意见》精神，以服务新质生产力发展为导向,</w:t>
      </w:r>
      <w:r>
        <w:rPr>
          <w:rFonts w:hint="eastAsia"/>
          <w:color w:val="000000"/>
          <w:spacing w:val="6"/>
          <w:szCs w:val="32"/>
        </w:rPr>
        <w:t>以政治建设为统领，以立德树人为根本，以治理体系改革为关键，以服务求支持、以贡献求发展，</w:t>
      </w:r>
      <w:r>
        <w:rPr>
          <w:rFonts w:hint="eastAsia" w:ascii="仿宋_GB2312"/>
          <w:szCs w:val="32"/>
        </w:rPr>
        <w:t>紧扣打造“三地一区”战略定位和建设“七个强省”奋斗目标，</w:t>
      </w:r>
      <w:r>
        <w:rPr>
          <w:rFonts w:hint="eastAsia"/>
          <w:color w:val="000000"/>
          <w:spacing w:val="6"/>
          <w:szCs w:val="32"/>
        </w:rPr>
        <w:t>奋力开创学校高质量发展新局面。</w:t>
      </w:r>
    </w:p>
    <w:p w14:paraId="2ED6B979">
      <w:pPr>
        <w:spacing w:line="600" w:lineRule="exact"/>
        <w:ind w:firstLine="640" w:firstLineChars="200"/>
        <w:rPr>
          <w:rFonts w:ascii="黑体" w:hAnsi="黑体" w:eastAsia="黑体" w:cs="黑体"/>
          <w:szCs w:val="32"/>
        </w:rPr>
      </w:pPr>
      <w:r>
        <w:rPr>
          <w:rFonts w:hint="eastAsia" w:ascii="黑体" w:hAnsi="黑体" w:eastAsia="黑体" w:cs="黑体"/>
          <w:szCs w:val="32"/>
        </w:rPr>
        <w:t>二、总体目标</w:t>
      </w:r>
    </w:p>
    <w:p w14:paraId="2E6B8831">
      <w:pPr>
        <w:spacing w:line="600" w:lineRule="exact"/>
        <w:ind w:firstLine="664" w:firstLineChars="200"/>
        <w:rPr>
          <w:rFonts w:ascii="仿宋_GB2312"/>
          <w:szCs w:val="32"/>
        </w:rPr>
      </w:pPr>
      <w:r>
        <w:rPr>
          <w:rFonts w:hint="eastAsia"/>
          <w:color w:val="000000"/>
          <w:spacing w:val="6"/>
          <w:szCs w:val="32"/>
        </w:rPr>
        <w:t>以创建行业特色高水平大学为统领，</w:t>
      </w:r>
      <w:r>
        <w:rPr>
          <w:rFonts w:hint="eastAsia" w:ascii="仿宋_GB2312" w:hAnsi="仿宋"/>
          <w:szCs w:val="32"/>
        </w:rPr>
        <w:t>聚力攻坚国家级人才、平台、项目、成果，强化各方资源有效协同，推进教育链、人才链、产业链、创新链的深度融合，</w:t>
      </w:r>
      <w:r>
        <w:rPr>
          <w:rFonts w:hint="eastAsia" w:ascii="仿宋_GB2312"/>
          <w:szCs w:val="32"/>
        </w:rPr>
        <w:t>为实现博士学位授予单位突破和建设以教师教育为特色、文理基础学科为支撑、多学科协调发展的高水平师范大学提供有力支撑。</w:t>
      </w:r>
    </w:p>
    <w:p w14:paraId="56688082">
      <w:pPr>
        <w:spacing w:line="600" w:lineRule="exact"/>
        <w:ind w:firstLine="640" w:firstLineChars="200"/>
        <w:rPr>
          <w:rFonts w:ascii="仿宋_GB2312" w:hAnsi="仿宋"/>
          <w:szCs w:val="32"/>
        </w:rPr>
      </w:pPr>
      <w:r>
        <w:rPr>
          <w:rFonts w:hint="eastAsia" w:ascii="仿宋_GB2312" w:hAnsi="仿宋"/>
          <w:szCs w:val="32"/>
        </w:rPr>
        <w:t>通过四年建设，学校办学优势和特色更加凸显，学科专业与产业发展的吻合度有效提升，师资队伍结构持续优化，人才培养水平显著提高，科技创新能力较大提升，服务支撑地方经济社会发展的能力明显增强。1-2个学科获批博士学位授权点，产业急需的应用型专业学位硕士点布局更优化，年获批国家级科研项目2</w:t>
      </w:r>
      <w:r>
        <w:rPr>
          <w:rFonts w:ascii="仿宋_GB2312" w:hAnsi="仿宋"/>
          <w:szCs w:val="32"/>
        </w:rPr>
        <w:t>0</w:t>
      </w:r>
      <w:r>
        <w:rPr>
          <w:rFonts w:hint="eastAsia" w:ascii="仿宋_GB2312" w:hAnsi="仿宋"/>
          <w:szCs w:val="32"/>
        </w:rPr>
        <w:t>项以上，年科研到账经费向7000万元迈进，转化一批具有良好经济社会效益的研究成果，力争国家级平台和科技奖双突破、获评国家级教学成果奖和国家一流课程，建设期目标全面达成，办学能力和内部治理水平较大提升。</w:t>
      </w:r>
    </w:p>
    <w:p w14:paraId="2A1BBA3A">
      <w:pPr>
        <w:spacing w:line="600" w:lineRule="exact"/>
        <w:ind w:firstLine="640" w:firstLineChars="200"/>
        <w:rPr>
          <w:rFonts w:ascii="黑体" w:hAnsi="黑体" w:eastAsia="黑体"/>
          <w:szCs w:val="32"/>
        </w:rPr>
      </w:pPr>
      <w:r>
        <w:rPr>
          <w:rFonts w:hint="eastAsia" w:ascii="黑体" w:hAnsi="黑体" w:eastAsia="黑体"/>
          <w:szCs w:val="32"/>
        </w:rPr>
        <w:t>三、建设任务</w:t>
      </w:r>
    </w:p>
    <w:p w14:paraId="597E66A9">
      <w:pPr>
        <w:spacing w:line="600" w:lineRule="exact"/>
        <w:ind w:firstLine="643" w:firstLineChars="200"/>
        <w:rPr>
          <w:rFonts w:ascii="楷体_GB2312" w:hAnsi="黑体" w:eastAsia="楷体_GB2312"/>
          <w:b/>
          <w:szCs w:val="32"/>
        </w:rPr>
      </w:pPr>
      <w:r>
        <w:rPr>
          <w:rFonts w:hint="eastAsia" w:ascii="楷体_GB2312" w:hAnsi="黑体" w:eastAsia="楷体_GB2312"/>
          <w:b/>
          <w:szCs w:val="32"/>
        </w:rPr>
        <w:t>（一）</w:t>
      </w:r>
      <w:r>
        <w:rPr>
          <w:rFonts w:hint="eastAsia" w:ascii="方正楷体_GBK" w:eastAsia="方正楷体_GBK"/>
          <w:b/>
          <w:color w:val="000000" w:themeColor="text1"/>
          <w:spacing w:val="6"/>
          <w:szCs w:val="32"/>
          <w14:textFill>
            <w14:solidFill>
              <w14:schemeClr w14:val="tx1"/>
            </w14:solidFill>
          </w14:textFill>
        </w:rPr>
        <w:t>实施党建和思想政治工作提升行动</w:t>
      </w:r>
    </w:p>
    <w:p w14:paraId="6CEE4B4A">
      <w:pPr>
        <w:spacing w:line="600" w:lineRule="exact"/>
        <w:ind w:firstLine="667" w:firstLineChars="200"/>
        <w:rPr>
          <w:rFonts w:ascii="仿宋_GB2312"/>
          <w:b/>
          <w:bCs/>
          <w:szCs w:val="32"/>
        </w:rPr>
      </w:pPr>
      <w:r>
        <w:rPr>
          <w:rFonts w:hint="eastAsia" w:ascii="仿宋_GB2312"/>
          <w:b/>
          <w:color w:val="000000" w:themeColor="text1"/>
          <w:spacing w:val="6"/>
          <w:szCs w:val="32"/>
          <w14:textFill>
            <w14:solidFill>
              <w14:schemeClr w14:val="tx1"/>
            </w14:solidFill>
          </w14:textFill>
        </w:rPr>
        <w:t>1.构建“一融双高”新格局。</w:t>
      </w:r>
      <w:r>
        <w:rPr>
          <w:rFonts w:hint="eastAsia"/>
          <w:color w:val="000000" w:themeColor="text1"/>
          <w:spacing w:val="6"/>
          <w:szCs w:val="32"/>
          <w14:textFill>
            <w14:solidFill>
              <w14:schemeClr w14:val="tx1"/>
            </w14:solidFill>
          </w14:textFill>
        </w:rPr>
        <w:t>坚持党建工作与业务工作深度融合，构建高质量党建引领高质量发展工作体系。加强基层党组织书记履职能力培养，完善上下贯通、执行有力的组织体系，切实增强基层党组织政治功能和组织功能。以党建“双创”为抓手，推动融合互促，培优做实党建品牌。</w:t>
      </w:r>
      <w:r>
        <w:rPr>
          <w:color w:val="000000" w:themeColor="text1"/>
          <w:spacing w:val="6"/>
          <w:szCs w:val="32"/>
          <w14:textFill>
            <w14:solidFill>
              <w14:schemeClr w14:val="tx1"/>
            </w14:solidFill>
          </w14:textFill>
        </w:rPr>
        <w:t>实施</w:t>
      </w:r>
      <w:r>
        <w:rPr>
          <w:rFonts w:hint="eastAsia"/>
          <w:color w:val="000000" w:themeColor="text1"/>
          <w:spacing w:val="6"/>
          <w:szCs w:val="32"/>
          <w14:textFill>
            <w14:solidFill>
              <w14:schemeClr w14:val="tx1"/>
            </w14:solidFill>
          </w14:textFill>
        </w:rPr>
        <w:t>“</w:t>
      </w:r>
      <w:r>
        <w:rPr>
          <w:color w:val="000000" w:themeColor="text1"/>
          <w:spacing w:val="6"/>
          <w:szCs w:val="32"/>
          <w14:textFill>
            <w14:solidFill>
              <w14:schemeClr w14:val="tx1"/>
            </w14:solidFill>
          </w14:textFill>
        </w:rPr>
        <w:t>双带头人”教师党支部</w:t>
      </w:r>
      <w:r>
        <w:rPr>
          <w:rFonts w:hint="eastAsia"/>
          <w:color w:val="000000" w:themeColor="text1"/>
          <w:spacing w:val="6"/>
          <w:szCs w:val="32"/>
          <w14:textFill>
            <w14:solidFill>
              <w14:schemeClr w14:val="tx1"/>
            </w14:solidFill>
          </w14:textFill>
        </w:rPr>
        <w:t>提标</w:t>
      </w:r>
      <w:r>
        <w:rPr>
          <w:color w:val="000000" w:themeColor="text1"/>
          <w:spacing w:val="6"/>
          <w:szCs w:val="32"/>
          <w14:textFill>
            <w14:solidFill>
              <w14:schemeClr w14:val="tx1"/>
            </w14:solidFill>
          </w14:textFill>
        </w:rPr>
        <w:t>行动</w:t>
      </w:r>
      <w:r>
        <w:rPr>
          <w:rFonts w:hint="eastAsia"/>
          <w:color w:val="000000" w:themeColor="text1"/>
          <w:spacing w:val="6"/>
          <w:szCs w:val="32"/>
          <w14:textFill>
            <w14:solidFill>
              <w14:schemeClr w14:val="tx1"/>
            </w14:solidFill>
          </w14:textFill>
        </w:rPr>
        <w:t>，</w:t>
      </w:r>
      <w:r>
        <w:rPr>
          <w:rFonts w:hint="eastAsia" w:ascii="仿宋_GB2312"/>
          <w:szCs w:val="32"/>
        </w:rPr>
        <w:t>全面落实“时代新人铸魂工程”工作任务。</w:t>
      </w:r>
      <w:r>
        <w:rPr>
          <w:rFonts w:hint="eastAsia" w:ascii="楷体" w:hAnsi="楷体" w:eastAsia="楷体" w:cs="楷体"/>
          <w:szCs w:val="32"/>
        </w:rPr>
        <w:t>（责任单位：党委组织部、党委宣传部、各基层党组织）</w:t>
      </w:r>
    </w:p>
    <w:p w14:paraId="68F4AD03">
      <w:pPr>
        <w:spacing w:line="580" w:lineRule="exact"/>
        <w:ind w:firstLine="664" w:firstLineChars="200"/>
        <w:rPr>
          <w:color w:val="000000" w:themeColor="text1"/>
          <w:spacing w:val="6"/>
          <w:szCs w:val="32"/>
          <w14:textFill>
            <w14:solidFill>
              <w14:schemeClr w14:val="tx1"/>
            </w14:solidFill>
          </w14:textFill>
        </w:rPr>
      </w:pPr>
    </w:p>
    <w:p w14:paraId="2B20E5DD">
      <w:pPr>
        <w:spacing w:line="600" w:lineRule="exact"/>
        <w:ind w:firstLine="643" w:firstLineChars="200"/>
        <w:rPr>
          <w:rFonts w:ascii="楷体_GB2312" w:hAnsi="黑体" w:eastAsia="楷体_GB2312"/>
          <w:b/>
          <w:szCs w:val="32"/>
        </w:rPr>
      </w:pPr>
      <w:r>
        <w:rPr>
          <w:rFonts w:hint="eastAsia" w:ascii="楷体_GB2312" w:hAnsi="黑体" w:eastAsia="楷体_GB2312"/>
          <w:b/>
          <w:szCs w:val="32"/>
        </w:rPr>
        <w:t>（二）实施高水平大学对标行动</w:t>
      </w:r>
    </w:p>
    <w:p w14:paraId="0C4712C7">
      <w:pPr>
        <w:spacing w:line="600" w:lineRule="exact"/>
        <w:ind w:firstLine="643" w:firstLineChars="200"/>
        <w:rPr>
          <w:rFonts w:ascii="仿宋_GB2312"/>
          <w:szCs w:val="32"/>
        </w:rPr>
      </w:pPr>
      <w:r>
        <w:rPr>
          <w:rFonts w:hint="eastAsia" w:ascii="仿宋_GB2312"/>
          <w:b/>
          <w:bCs/>
          <w:szCs w:val="32"/>
        </w:rPr>
        <w:t>2</w:t>
      </w:r>
      <w:r>
        <w:rPr>
          <w:rFonts w:ascii="仿宋_GB2312"/>
          <w:b/>
          <w:bCs/>
          <w:szCs w:val="32"/>
        </w:rPr>
        <w:t>.</w:t>
      </w:r>
      <w:r>
        <w:rPr>
          <w:rFonts w:hint="eastAsia" w:ascii="仿宋_GB2312"/>
          <w:b/>
          <w:bCs/>
          <w:szCs w:val="32"/>
        </w:rPr>
        <w:t>实施学校系统治理水平提升工程。</w:t>
      </w:r>
      <w:r>
        <w:rPr>
          <w:rFonts w:hint="eastAsia" w:ascii="仿宋_GB2312"/>
          <w:szCs w:val="32"/>
        </w:rPr>
        <w:t>学校选定省内2所左右、省外3所左右高水平大学作为对标大学，确定对标项目，签订合作协议，制定对标政策，采取有力举措，开展对标建设。各学院选定1</w:t>
      </w:r>
      <w:r>
        <w:rPr>
          <w:rFonts w:ascii="仿宋_GB2312"/>
          <w:szCs w:val="32"/>
        </w:rPr>
        <w:t>-2个</w:t>
      </w:r>
      <w:r>
        <w:rPr>
          <w:rFonts w:hint="eastAsia" w:ascii="仿宋_GB2312"/>
          <w:szCs w:val="32"/>
        </w:rPr>
        <w:t>高水平大学相关学院作为对标学院。职能部门与对标大学的相关部门，结合当前的制度“废改立”工作，围绕部门职能学习管理服务经验，借鉴典型做法，积极开展干部挂职、教师进修、团队共建、学生跨校学习、人才联合培养、高等研究院建设、项目和奖项合作申报等工作，为二级学院对标高水平学院提供指导服务和政策支持。</w:t>
      </w:r>
      <w:r>
        <w:rPr>
          <w:rFonts w:ascii="仿宋_GB2312"/>
          <w:szCs w:val="32"/>
        </w:rPr>
        <w:t>各</w:t>
      </w:r>
      <w:r>
        <w:rPr>
          <w:rFonts w:hint="eastAsia" w:ascii="仿宋_GB2312"/>
          <w:szCs w:val="32"/>
        </w:rPr>
        <w:t>二级学院主要围绕学科专业、师资队伍、人才培养、科学研究、成果转化等方面对标，形成对标方案，根据自身发展要求，在以上方面有选择性地开展深度交流合作。</w:t>
      </w:r>
      <w:r>
        <w:rPr>
          <w:rFonts w:hint="eastAsia" w:ascii="楷体" w:hAnsi="楷体" w:eastAsia="楷体" w:cs="楷体"/>
          <w:szCs w:val="32"/>
        </w:rPr>
        <w:t>（责任单位：各职能部门、各学院）</w:t>
      </w:r>
    </w:p>
    <w:p w14:paraId="4A1D0C8B">
      <w:pPr>
        <w:spacing w:line="580" w:lineRule="exact"/>
        <w:ind w:firstLine="667" w:firstLineChars="200"/>
        <w:rPr>
          <w:rFonts w:ascii="方正楷体_GBK" w:eastAsia="方正楷体_GBK"/>
          <w:b/>
          <w:color w:val="000000"/>
          <w:spacing w:val="6"/>
          <w:szCs w:val="32"/>
        </w:rPr>
      </w:pPr>
      <w:r>
        <w:rPr>
          <w:rFonts w:hint="eastAsia" w:ascii="方正楷体_GBK" w:eastAsia="方正楷体_GBK"/>
          <w:b/>
          <w:color w:val="000000"/>
          <w:spacing w:val="6"/>
          <w:szCs w:val="32"/>
        </w:rPr>
        <w:t>（三）实施人才自主培养质量提升行动</w:t>
      </w:r>
    </w:p>
    <w:p w14:paraId="05CB3290">
      <w:pPr>
        <w:spacing w:line="580" w:lineRule="exact"/>
        <w:ind w:firstLine="667" w:firstLineChars="200"/>
        <w:rPr>
          <w:color w:val="000000"/>
          <w:spacing w:val="6"/>
          <w:szCs w:val="32"/>
        </w:rPr>
      </w:pPr>
      <w:r>
        <w:rPr>
          <w:rFonts w:hint="eastAsia" w:ascii="仿宋_GB2312"/>
          <w:b/>
          <w:color w:val="000000"/>
          <w:spacing w:val="6"/>
          <w:szCs w:val="32"/>
        </w:rPr>
        <w:t>3</w:t>
      </w:r>
      <w:r>
        <w:rPr>
          <w:rFonts w:ascii="仿宋_GB2312"/>
          <w:b/>
          <w:color w:val="000000"/>
          <w:spacing w:val="6"/>
          <w:szCs w:val="32"/>
        </w:rPr>
        <w:t>.</w:t>
      </w:r>
      <w:r>
        <w:rPr>
          <w:rFonts w:hint="eastAsia" w:ascii="仿宋_GB2312"/>
          <w:b/>
          <w:color w:val="000000"/>
          <w:spacing w:val="6"/>
          <w:szCs w:val="32"/>
        </w:rPr>
        <w:t>推进本科教育教学提质增效。</w:t>
      </w:r>
      <w:r>
        <w:rPr>
          <w:rFonts w:hint="eastAsia"/>
          <w:color w:val="000000"/>
          <w:spacing w:val="6"/>
          <w:szCs w:val="32"/>
        </w:rPr>
        <w:t>以生源质量提升为目标，</w:t>
      </w:r>
      <w:r>
        <w:rPr>
          <w:color w:val="000000"/>
          <w:spacing w:val="6"/>
          <w:szCs w:val="32"/>
        </w:rPr>
        <w:t>构建</w:t>
      </w:r>
      <w:r>
        <w:rPr>
          <w:rFonts w:hint="eastAsia"/>
          <w:color w:val="000000"/>
          <w:spacing w:val="6"/>
          <w:szCs w:val="32"/>
        </w:rPr>
        <w:t>“多方</w:t>
      </w:r>
      <w:r>
        <w:rPr>
          <w:color w:val="000000"/>
          <w:spacing w:val="6"/>
          <w:szCs w:val="32"/>
        </w:rPr>
        <w:t>协同</w:t>
      </w:r>
      <w:r>
        <w:rPr>
          <w:rFonts w:hint="eastAsia"/>
          <w:color w:val="000000"/>
          <w:spacing w:val="6"/>
          <w:szCs w:val="32"/>
        </w:rPr>
        <w:t>、全员参与”</w:t>
      </w:r>
      <w:r>
        <w:rPr>
          <w:color w:val="000000"/>
          <w:spacing w:val="6"/>
          <w:szCs w:val="32"/>
        </w:rPr>
        <w:t>招生宣传</w:t>
      </w:r>
      <w:r>
        <w:rPr>
          <w:rFonts w:hint="eastAsia"/>
          <w:color w:val="000000"/>
          <w:spacing w:val="6"/>
          <w:szCs w:val="32"/>
        </w:rPr>
        <w:t>机制。紧扣全球视野、家国情怀、德才兼备、人格完善的“卓越师范、社会英才”人才培养目标，对标“四新”要求，深化教育教学改革，树牢“四创”理念，修订人才培养方案。全面推进微学科、微专业、微课程改革试点。坚持学科专业调整与产业人才需求联动，大力推进专业改造升级和专业认证。强化课程建设和过程考核，完善“五融五育”</w:t>
      </w:r>
      <w:r>
        <w:rPr>
          <w:color w:val="000000"/>
          <w:spacing w:val="6"/>
          <w:szCs w:val="32"/>
        </w:rPr>
        <w:t>课程体系</w:t>
      </w:r>
      <w:r>
        <w:rPr>
          <w:rFonts w:hint="eastAsia"/>
          <w:color w:val="000000"/>
          <w:spacing w:val="6"/>
          <w:szCs w:val="32"/>
        </w:rPr>
        <w:t>，打造精品课程。加大学业评价改革，推动以能力培养为导向的考试方式变革。将数字化、智能化等深度融入人才培养、教育教学改革，加快推进教育教学数字化转型。不断提升学生学术及创新创业能力，加大竞争国家</w:t>
      </w:r>
      <w:r>
        <w:rPr>
          <w:rFonts w:hint="eastAsia"/>
          <w:color w:val="000000" w:themeColor="text1"/>
          <w:spacing w:val="6"/>
          <w:szCs w:val="32"/>
          <w14:textFill>
            <w14:solidFill>
              <w14:schemeClr w14:val="tx1"/>
            </w14:solidFill>
          </w14:textFill>
        </w:rPr>
        <w:t>A类学科竞赛项目的培育力度。</w:t>
      </w:r>
      <w:r>
        <w:rPr>
          <w:rFonts w:hint="eastAsia" w:ascii="楷体" w:hAnsi="楷体" w:eastAsia="楷体" w:cs="楷体"/>
          <w:color w:val="000000"/>
          <w:spacing w:val="6"/>
          <w:szCs w:val="32"/>
        </w:rPr>
        <w:t>（</w:t>
      </w:r>
      <w:r>
        <w:rPr>
          <w:rFonts w:hint="eastAsia" w:ascii="楷体" w:hAnsi="楷体" w:eastAsia="楷体" w:cs="楷体"/>
          <w:szCs w:val="32"/>
        </w:rPr>
        <w:t>责任单位：教务处、网络与信息管理中心、校团委、创新创业学院、招生就业处、各学院</w:t>
      </w:r>
      <w:r>
        <w:rPr>
          <w:rFonts w:hint="eastAsia" w:ascii="楷体" w:hAnsi="楷体" w:eastAsia="楷体" w:cs="楷体"/>
          <w:color w:val="000000"/>
          <w:spacing w:val="6"/>
          <w:szCs w:val="32"/>
        </w:rPr>
        <w:t>）</w:t>
      </w:r>
    </w:p>
    <w:p w14:paraId="1611118C">
      <w:pPr>
        <w:spacing w:line="580" w:lineRule="exact"/>
        <w:ind w:firstLine="667" w:firstLineChars="200"/>
        <w:rPr>
          <w:color w:val="000000"/>
          <w:spacing w:val="6"/>
          <w:szCs w:val="32"/>
        </w:rPr>
      </w:pPr>
      <w:r>
        <w:rPr>
          <w:rFonts w:hint="eastAsia" w:ascii="仿宋_GB2312"/>
          <w:b/>
          <w:color w:val="000000"/>
          <w:spacing w:val="6"/>
          <w:szCs w:val="32"/>
        </w:rPr>
        <w:t>4.激励研究生教育改革创新。</w:t>
      </w:r>
      <w:r>
        <w:rPr>
          <w:rFonts w:hint="eastAsia"/>
          <w:color w:val="000000"/>
          <w:spacing w:val="6"/>
          <w:szCs w:val="32"/>
        </w:rPr>
        <w:t>坚持学术学位与专业学位研究生教育同等地位、同等重要，修订分类培养方案，构建拔尖创新人才自主培养质量体系。制定招生质量评估标准，将招生指标与生源质量、人才培养质量、就业情况和学科建设水平挂钩。招生指标重点向高峰（培育）学科、“双特色”学科、高水平团队倾斜。改革研究生导师资格遴选与考核评价，建立宽进严考、能进能出的管理机制，提高中青年硕导比例。</w:t>
      </w:r>
      <w:r>
        <w:rPr>
          <w:rFonts w:hint="eastAsia" w:ascii="楷体" w:hAnsi="楷体" w:eastAsia="楷体" w:cs="楷体"/>
          <w:color w:val="000000"/>
          <w:spacing w:val="6"/>
          <w:szCs w:val="32"/>
        </w:rPr>
        <w:t>（责任单位：研究生院、党委研究生工作部）</w:t>
      </w:r>
    </w:p>
    <w:p w14:paraId="397C6A6D">
      <w:pPr>
        <w:spacing w:line="580" w:lineRule="exact"/>
        <w:ind w:firstLine="667" w:firstLineChars="200"/>
        <w:rPr>
          <w:rFonts w:ascii="仿宋_GB2312" w:hAnsi="仿宋_GB2312" w:cs="仿宋_GB2312"/>
          <w:color w:val="000000"/>
          <w:spacing w:val="6"/>
          <w:szCs w:val="40"/>
        </w:rPr>
      </w:pPr>
      <w:r>
        <w:rPr>
          <w:rFonts w:hint="eastAsia" w:ascii="仿宋_GB2312"/>
          <w:b/>
          <w:color w:val="000000"/>
          <w:spacing w:val="6"/>
          <w:szCs w:val="32"/>
        </w:rPr>
        <w:t>5.推动人才培养模式机制创新。</w:t>
      </w:r>
      <w:r>
        <w:rPr>
          <w:rFonts w:hint="eastAsia"/>
          <w:color w:val="000000"/>
          <w:spacing w:val="6"/>
          <w:szCs w:val="32"/>
        </w:rPr>
        <w:t>坚持科教融汇、产教融合，创新人才培养模式。总结推广安徽高等研究院淮北分院、现代产业学院等经验做法，加大建设力度，构建企业出题、师生答卷的产教融合人才培养新模式，提高创新型人才培养能力。加强与头部企业、新兴行业领域合作，提高复合型人才培养能力。深化研究生培养模式改革，与“双一流”高校联合开展博士研究生培养。</w:t>
      </w:r>
      <w:r>
        <w:rPr>
          <w:rFonts w:hint="eastAsia" w:ascii="仿宋_GB2312" w:hAnsi="仿宋_GB2312" w:cs="仿宋_GB2312"/>
          <w:color w:val="000000"/>
          <w:spacing w:val="6"/>
          <w:szCs w:val="40"/>
        </w:rPr>
        <w:t>完善科技小院管理运行机制，推动科技小院集群化、协同化、卓越化发展。</w:t>
      </w:r>
      <w:r>
        <w:rPr>
          <w:rFonts w:hint="eastAsia" w:ascii="楷体" w:hAnsi="楷体" w:eastAsia="楷体" w:cs="楷体"/>
          <w:color w:val="000000"/>
          <w:spacing w:val="6"/>
          <w:szCs w:val="32"/>
        </w:rPr>
        <w:t>（责任单位：教务处、研究生院、相关学院）</w:t>
      </w:r>
    </w:p>
    <w:p w14:paraId="46D6C4B0">
      <w:pPr>
        <w:spacing w:line="580" w:lineRule="exact"/>
        <w:ind w:firstLine="667" w:firstLineChars="200"/>
        <w:rPr>
          <w:rFonts w:ascii="方正楷体_GBK" w:eastAsia="方正楷体_GBK"/>
          <w:b/>
          <w:color w:val="000000"/>
          <w:spacing w:val="6"/>
          <w:szCs w:val="32"/>
        </w:rPr>
      </w:pPr>
      <w:r>
        <w:rPr>
          <w:rFonts w:hint="eastAsia" w:ascii="方正楷体_GBK" w:eastAsia="方正楷体_GBK"/>
          <w:b/>
          <w:color w:val="000000"/>
          <w:spacing w:val="6"/>
          <w:szCs w:val="32"/>
        </w:rPr>
        <w:t>（四）实施学科建设质量提升行动</w:t>
      </w:r>
    </w:p>
    <w:p w14:paraId="7141B625">
      <w:pPr>
        <w:spacing w:line="560" w:lineRule="exact"/>
        <w:ind w:firstLine="667" w:firstLineChars="200"/>
        <w:rPr>
          <w:rFonts w:ascii="楷体" w:hAnsi="楷体" w:eastAsia="楷体" w:cs="楷体"/>
          <w:color w:val="000000"/>
          <w:spacing w:val="6"/>
          <w:szCs w:val="32"/>
        </w:rPr>
      </w:pPr>
      <w:r>
        <w:rPr>
          <w:rFonts w:hint="eastAsia" w:ascii="仿宋_GB2312"/>
          <w:b/>
          <w:color w:val="000000"/>
          <w:spacing w:val="6"/>
          <w:szCs w:val="32"/>
        </w:rPr>
        <w:t>6.优化调整学科专业布局。</w:t>
      </w:r>
      <w:r>
        <w:rPr>
          <w:rFonts w:hint="eastAsia" w:ascii="仿宋_GB2312"/>
          <w:bCs/>
          <w:color w:val="000000"/>
          <w:spacing w:val="6"/>
          <w:szCs w:val="32"/>
        </w:rPr>
        <w:t>围绕国家重大战略部署、产业发展</w:t>
      </w:r>
      <w:r>
        <w:rPr>
          <w:rFonts w:hint="eastAsia"/>
          <w:color w:val="000000"/>
          <w:spacing w:val="6"/>
          <w:szCs w:val="32"/>
        </w:rPr>
        <w:t>需求和学科建设需要，建立学院学科专业结构动态调整机制，</w:t>
      </w:r>
      <w:r>
        <w:rPr>
          <w:rFonts w:hint="eastAsia" w:ascii="仿宋_GB2312"/>
          <w:color w:val="000000"/>
          <w:spacing w:val="6"/>
          <w:szCs w:val="32"/>
        </w:rPr>
        <w:t>调整、优化、布局</w:t>
      </w:r>
      <w:r>
        <w:rPr>
          <w:rFonts w:hint="eastAsia"/>
          <w:color w:val="000000"/>
          <w:spacing w:val="6"/>
          <w:szCs w:val="32"/>
        </w:rPr>
        <w:t>部分</w:t>
      </w:r>
      <w:r>
        <w:rPr>
          <w:rFonts w:hint="eastAsia" w:ascii="仿宋_GB2312"/>
          <w:color w:val="000000"/>
          <w:spacing w:val="6"/>
          <w:szCs w:val="32"/>
        </w:rPr>
        <w:t>学院。加大新工科、新农科、新文科和服务战新产业专业布局，强化学科专业交叉融合，运用“信息技术+”“人工智能+”“工程技术+”等改造提升传统学科专业，开辟智慧教育等未来产业新赛道，推动学科交叉融合，培育新的增长点。制定博士学位点建设培育行动方案，</w:t>
      </w:r>
      <w:r>
        <w:rPr>
          <w:rFonts w:hint="eastAsia"/>
          <w:color w:val="000000"/>
          <w:spacing w:val="6"/>
          <w:szCs w:val="32"/>
        </w:rPr>
        <w:t>优化学位点布局，做好培育、申报、建设和核验工作。</w:t>
      </w:r>
      <w:r>
        <w:rPr>
          <w:rFonts w:hint="eastAsia" w:ascii="楷体" w:hAnsi="楷体" w:eastAsia="楷体" w:cs="楷体"/>
          <w:color w:val="000000"/>
          <w:spacing w:val="6"/>
          <w:szCs w:val="32"/>
        </w:rPr>
        <w:t>（责任单位：学科建设与发展规划处、教务处、研究生院、相关学院）</w:t>
      </w:r>
    </w:p>
    <w:p w14:paraId="401071EF">
      <w:pPr>
        <w:spacing w:line="580" w:lineRule="exact"/>
        <w:ind w:firstLine="667" w:firstLineChars="200"/>
        <w:rPr>
          <w:rFonts w:ascii="仿宋_GB2312"/>
          <w:color w:val="000000"/>
          <w:spacing w:val="6"/>
          <w:szCs w:val="32"/>
        </w:rPr>
      </w:pPr>
      <w:r>
        <w:rPr>
          <w:rFonts w:hint="eastAsia" w:ascii="仿宋_GB2312"/>
          <w:b/>
          <w:color w:val="000000"/>
          <w:spacing w:val="6"/>
          <w:szCs w:val="32"/>
        </w:rPr>
        <w:t>7.实施攀峰学科提升工程。</w:t>
      </w:r>
      <w:r>
        <w:rPr>
          <w:rFonts w:hint="eastAsia" w:ascii="仿宋_GB2312"/>
          <w:color w:val="000000"/>
          <w:spacing w:val="6"/>
          <w:szCs w:val="32"/>
        </w:rPr>
        <w:t>坚持扶强、扶优、扶特、扶需原则，完善学科分类分层发展机制。制定一流学科培育计划，设立学科特区，在人才引进，职称评审，研究生招生，博士生导师，科研绩效，年度考核等单设标准，力争学科特区产出成果。</w:t>
      </w:r>
      <w:r>
        <w:rPr>
          <w:rFonts w:hint="eastAsia" w:ascii="仿宋_GB2312" w:hAnsi="仿宋_GB2312" w:cs="仿宋_GB2312"/>
          <w:color w:val="000000"/>
          <w:spacing w:val="6"/>
          <w:szCs w:val="40"/>
        </w:rPr>
        <w:t>实施攀峰学</w:t>
      </w:r>
      <w:r>
        <w:rPr>
          <w:rFonts w:hint="eastAsia" w:ascii="仿宋_GB2312" w:hAnsi="仿宋_GB2312" w:cs="仿宋_GB2312"/>
          <w:spacing w:val="6"/>
          <w:szCs w:val="40"/>
        </w:rPr>
        <w:t>科</w:t>
      </w:r>
      <w:r>
        <w:rPr>
          <w:rFonts w:hint="eastAsia" w:cs="仿宋_GB2312"/>
          <w:spacing w:val="6"/>
          <w:szCs w:val="40"/>
        </w:rPr>
        <w:t>“1+3</w:t>
      </w:r>
      <w:r>
        <w:rPr>
          <w:rFonts w:cs="仿宋_GB2312"/>
          <w:spacing w:val="6"/>
          <w:szCs w:val="40"/>
        </w:rPr>
        <w:t>+N</w:t>
      </w:r>
      <w:r>
        <w:rPr>
          <w:rFonts w:hint="eastAsia" w:cs="仿宋_GB2312"/>
          <w:spacing w:val="6"/>
          <w:szCs w:val="40"/>
        </w:rPr>
        <w:t>”</w:t>
      </w:r>
      <w:r>
        <w:rPr>
          <w:rFonts w:hint="eastAsia" w:ascii="仿宋_GB2312" w:hAnsi="仿宋_GB2312" w:cs="仿宋_GB2312"/>
          <w:spacing w:val="6"/>
          <w:szCs w:val="40"/>
        </w:rPr>
        <w:t>工程，</w:t>
      </w:r>
      <w:r>
        <w:rPr>
          <w:rFonts w:hint="eastAsia" w:ascii="仿宋_GB2312"/>
          <w:color w:val="000000"/>
          <w:spacing w:val="6"/>
          <w:szCs w:val="32"/>
        </w:rPr>
        <w:t>筑牢教育博士点学科优势，夯实化学、生物学、软件工程高峰及培育学科基础，大力扶持一批有潜力、有活力的优势学科，按照国家和区域战略导向和急需领域培育建设新兴交叉学科，推动学科水平整体提升。开展新一轮学科方向凝练、带头人遴选和团队组建，实施学科带头人“接续培养工程”，推动学院统筹、学科主导的引才方式改革，做大建强学科团队。</w:t>
      </w:r>
      <w:r>
        <w:rPr>
          <w:rFonts w:hint="eastAsia"/>
          <w:color w:val="000000"/>
          <w:spacing w:val="6"/>
          <w:szCs w:val="32"/>
        </w:rPr>
        <w:t>实施学科声誉提升支持计划，重点围绕主办承办国际国内学术会议、选派学生3个月以上境外交流联培、教材、教学成果奖、科研成果奖等给予精准支持。</w:t>
      </w:r>
      <w:r>
        <w:rPr>
          <w:rFonts w:hint="eastAsia" w:ascii="楷体" w:hAnsi="楷体" w:eastAsia="楷体" w:cs="楷体"/>
          <w:color w:val="000000"/>
          <w:spacing w:val="6"/>
          <w:szCs w:val="32"/>
        </w:rPr>
        <w:t>（责任单位：学科建设与发展规划处、相关学院）</w:t>
      </w:r>
    </w:p>
    <w:p w14:paraId="63C5B3DE">
      <w:pPr>
        <w:spacing w:line="580" w:lineRule="exact"/>
        <w:ind w:firstLine="667" w:firstLineChars="200"/>
        <w:rPr>
          <w:rFonts w:ascii="方正楷体_GBK" w:eastAsia="方正楷体_GBK"/>
          <w:b/>
          <w:color w:val="000000"/>
          <w:spacing w:val="6"/>
          <w:szCs w:val="32"/>
        </w:rPr>
      </w:pPr>
      <w:r>
        <w:rPr>
          <w:rFonts w:hint="eastAsia" w:ascii="方正楷体_GBK" w:eastAsia="方正楷体_GBK"/>
          <w:b/>
          <w:color w:val="000000"/>
          <w:spacing w:val="6"/>
          <w:szCs w:val="32"/>
        </w:rPr>
        <w:t>（五）实施师资扩量提质行动</w:t>
      </w:r>
    </w:p>
    <w:p w14:paraId="29FD14B7">
      <w:pPr>
        <w:spacing w:line="580" w:lineRule="exact"/>
        <w:ind w:firstLine="667" w:firstLineChars="200"/>
        <w:rPr>
          <w:rFonts w:ascii="仿宋_GB2312"/>
          <w:b/>
          <w:color w:val="000000"/>
          <w:spacing w:val="6"/>
          <w:szCs w:val="32"/>
        </w:rPr>
      </w:pPr>
      <w:r>
        <w:rPr>
          <w:rFonts w:hint="eastAsia" w:ascii="仿宋_GB2312"/>
          <w:b/>
          <w:color w:val="000000"/>
          <w:spacing w:val="6"/>
          <w:szCs w:val="32"/>
        </w:rPr>
        <w:t>8.实施高端人才倍增计划。</w:t>
      </w:r>
      <w:r>
        <w:rPr>
          <w:rFonts w:hint="eastAsia" w:ascii="仿宋_GB2312" w:hAnsi="仿宋_GB2312" w:cs="仿宋_GB2312"/>
          <w:color w:val="000000"/>
          <w:szCs w:val="32"/>
        </w:rPr>
        <w:t>坚持党管人才，制定</w:t>
      </w:r>
      <w:r>
        <w:rPr>
          <w:rFonts w:hint="eastAsia"/>
          <w:color w:val="000000"/>
          <w:spacing w:val="6"/>
          <w:szCs w:val="32"/>
        </w:rPr>
        <w:t>人才强校若干举措。突出“高精尖缺”导向，绘制高端人才地图，按图索骥、精准引才，力争实现全职国家级人才突破。创新人才引进模式，大力引进四类以上高层次人才。拓展引才渠道，加大海外引才力度。举办国际青年学者论坛等活动。实施博士后队伍倍增工程，提高博士后待遇和政策保障，探索“创新团队+博士后”模式，助力大团队建设。</w:t>
      </w:r>
      <w:r>
        <w:rPr>
          <w:rFonts w:hint="eastAsia" w:ascii="楷体" w:hAnsi="楷体" w:eastAsia="楷体" w:cs="楷体"/>
          <w:color w:val="000000"/>
          <w:spacing w:val="6"/>
          <w:szCs w:val="32"/>
        </w:rPr>
        <w:t>（责任单位：人事处、各学院）</w:t>
      </w:r>
    </w:p>
    <w:p w14:paraId="6B64FD10">
      <w:pPr>
        <w:spacing w:line="580" w:lineRule="exact"/>
        <w:ind w:firstLine="667" w:firstLineChars="200"/>
        <w:rPr>
          <w:color w:val="FF0000"/>
          <w:spacing w:val="6"/>
          <w:szCs w:val="32"/>
        </w:rPr>
      </w:pPr>
      <w:r>
        <w:rPr>
          <w:rFonts w:hint="eastAsia" w:ascii="仿宋_GB2312"/>
          <w:b/>
          <w:color w:val="000000"/>
          <w:spacing w:val="6"/>
          <w:szCs w:val="32"/>
        </w:rPr>
        <w:t>9</w:t>
      </w:r>
      <w:r>
        <w:rPr>
          <w:rFonts w:ascii="仿宋_GB2312"/>
          <w:b/>
          <w:color w:val="000000"/>
          <w:spacing w:val="6"/>
          <w:szCs w:val="32"/>
        </w:rPr>
        <w:t>.</w:t>
      </w:r>
      <w:r>
        <w:rPr>
          <w:rFonts w:hint="eastAsia" w:ascii="仿宋_GB2312"/>
          <w:b/>
          <w:color w:val="000000"/>
          <w:spacing w:val="6"/>
          <w:szCs w:val="32"/>
        </w:rPr>
        <w:t>培育国家级人才梯队。</w:t>
      </w:r>
      <w:r>
        <w:rPr>
          <w:rFonts w:hint="eastAsia"/>
          <w:color w:val="000000"/>
          <w:spacing w:val="6"/>
          <w:szCs w:val="32"/>
        </w:rPr>
        <w:t>创新人才“引培用留”体制机制，积极打造“人才特区”，营造“近悦远来”的人才发展环境。健全国家</w:t>
      </w:r>
      <w:r>
        <w:rPr>
          <w:rFonts w:hint="eastAsia" w:ascii="仿宋_GB2312" w:hAnsi="仿宋_GB2312" w:cs="仿宋_GB2312"/>
          <w:color w:val="000000"/>
          <w:szCs w:val="32"/>
        </w:rPr>
        <w:t>级人才培育长效机制。</w:t>
      </w:r>
      <w:r>
        <w:rPr>
          <w:rFonts w:hint="eastAsia"/>
          <w:color w:val="000000"/>
          <w:spacing w:val="6"/>
          <w:szCs w:val="32"/>
        </w:rPr>
        <w:t>出台高层次人才长聘与持续支持实施办法，因材施策，建</w:t>
      </w:r>
      <w:r>
        <w:rPr>
          <w:rFonts w:hint="eastAsia"/>
          <w:spacing w:val="6"/>
          <w:szCs w:val="32"/>
        </w:rPr>
        <w:t>立校院两级分类支持与培育体系。在教师新入职、打基础、刚冒尖、攻难关、上水平的五个发展阶段，实施精准化培育，支持青年人才挑大梁、当主角。创新管理服务机制，实施人才服务“</w:t>
      </w:r>
      <w:r>
        <w:rPr>
          <w:rFonts w:hint="eastAsia"/>
          <w:color w:val="000000"/>
          <w:spacing w:val="6"/>
          <w:szCs w:val="32"/>
        </w:rPr>
        <w:t>暖心工程”，完善校院领导联系服务人才制度。</w:t>
      </w:r>
      <w:r>
        <w:rPr>
          <w:rFonts w:hint="eastAsia" w:ascii="楷体" w:hAnsi="楷体" w:eastAsia="楷体" w:cs="楷体"/>
          <w:color w:val="000000"/>
          <w:spacing w:val="6"/>
          <w:szCs w:val="32"/>
        </w:rPr>
        <w:t>（责任单位：人事处、各学院和学术机构）</w:t>
      </w:r>
    </w:p>
    <w:p w14:paraId="6564F98C">
      <w:pPr>
        <w:spacing w:line="580" w:lineRule="exact"/>
        <w:ind w:firstLine="667" w:firstLineChars="200"/>
        <w:rPr>
          <w:rFonts w:ascii="方正楷体_GBK" w:eastAsia="方正楷体_GBK"/>
          <w:b/>
          <w:color w:val="000000"/>
          <w:spacing w:val="6"/>
          <w:szCs w:val="32"/>
        </w:rPr>
      </w:pPr>
      <w:r>
        <w:rPr>
          <w:rFonts w:hint="eastAsia" w:ascii="方正楷体_GBK" w:eastAsia="方正楷体_GBK"/>
          <w:b/>
          <w:color w:val="000000"/>
          <w:spacing w:val="6"/>
          <w:szCs w:val="32"/>
        </w:rPr>
        <w:t>（六）实施科技创新能力提升行动</w:t>
      </w:r>
    </w:p>
    <w:p w14:paraId="19DC8F5D">
      <w:pPr>
        <w:tabs>
          <w:tab w:val="left" w:pos="720"/>
        </w:tabs>
        <w:spacing w:line="580" w:lineRule="exact"/>
        <w:ind w:firstLine="667" w:firstLineChars="200"/>
        <w:rPr>
          <w:rFonts w:ascii="仿宋_GB2312"/>
          <w:color w:val="000000"/>
          <w:spacing w:val="6"/>
          <w:szCs w:val="32"/>
        </w:rPr>
      </w:pPr>
      <w:r>
        <w:rPr>
          <w:rFonts w:hint="eastAsia" w:ascii="仿宋_GB2312"/>
          <w:b/>
          <w:color w:val="000000"/>
          <w:spacing w:val="6"/>
          <w:szCs w:val="32"/>
        </w:rPr>
        <w:t>10.加强有组织科研。</w:t>
      </w:r>
      <w:r>
        <w:rPr>
          <w:rFonts w:hint="eastAsia" w:ascii="仿宋_GB2312"/>
          <w:color w:val="000000"/>
          <w:spacing w:val="6"/>
          <w:szCs w:val="32"/>
        </w:rPr>
        <w:t>聚焦国家战略和区域重大需求，整合资源、集聚力量、强化交叉，加快发展新质生产力。建立“团队+”科研组织模式，以大平台、优势研究团队为主体，强化与国家队合作，谋划凝练一批重大研究任务，提高承接重大科研项目能力。加大“学科+”交叉创新研究，推动学科</w:t>
      </w:r>
      <w:r>
        <w:rPr>
          <w:rFonts w:ascii="仿宋_GB2312"/>
          <w:color w:val="000000"/>
          <w:spacing w:val="6"/>
          <w:szCs w:val="32"/>
        </w:rPr>
        <w:t>交叉融合</w:t>
      </w:r>
      <w:r>
        <w:rPr>
          <w:rFonts w:hint="eastAsia" w:ascii="仿宋_GB2312"/>
          <w:color w:val="000000"/>
          <w:spacing w:val="6"/>
          <w:szCs w:val="32"/>
        </w:rPr>
        <w:t>，构建全链条全要素、多学院多学科协同创新机制，激发创新源动力。实施“对象+”产业协同攻关，深化产教融合、科教融汇，促进校企联合开展科技创新和成果转化。</w:t>
      </w:r>
      <w:r>
        <w:rPr>
          <w:rFonts w:hint="eastAsia" w:ascii="楷体" w:hAnsi="楷体" w:eastAsia="楷体" w:cs="楷体"/>
          <w:color w:val="000000"/>
          <w:spacing w:val="6"/>
          <w:szCs w:val="32"/>
        </w:rPr>
        <w:t>（责任单位：科学研究部）</w:t>
      </w:r>
    </w:p>
    <w:p w14:paraId="49BEF2E6">
      <w:pPr>
        <w:tabs>
          <w:tab w:val="left" w:pos="720"/>
        </w:tabs>
        <w:spacing w:line="580" w:lineRule="exact"/>
        <w:ind w:firstLine="667" w:firstLineChars="200"/>
        <w:rPr>
          <w:rFonts w:ascii="仿宋_GB2312"/>
          <w:szCs w:val="32"/>
        </w:rPr>
      </w:pPr>
      <w:r>
        <w:rPr>
          <w:rFonts w:hint="eastAsia" w:ascii="仿宋_GB2312"/>
          <w:b/>
          <w:color w:val="000000"/>
          <w:spacing w:val="6"/>
          <w:szCs w:val="32"/>
        </w:rPr>
        <w:t>11.培育标志性成果。</w:t>
      </w:r>
      <w:r>
        <w:rPr>
          <w:rFonts w:hint="eastAsia" w:ascii="仿宋_GB2312"/>
          <w:color w:val="000000"/>
          <w:spacing w:val="6"/>
          <w:szCs w:val="32"/>
        </w:rPr>
        <w:t>完善重大科研成果顶层设计、组织协调、跟踪服务的培育机制。</w:t>
      </w:r>
      <w:r>
        <w:rPr>
          <w:rFonts w:hint="eastAsia"/>
          <w:color w:val="000000"/>
          <w:spacing w:val="6"/>
          <w:szCs w:val="32"/>
        </w:rPr>
        <w:t>围绕安徽发展发展实践，依托学校优势特色，改革创新，加大智库建设力度。与“双一流”高校、大院大所</w:t>
      </w:r>
      <w:r>
        <w:rPr>
          <w:rFonts w:hint="eastAsia" w:ascii="仿宋_GB2312"/>
          <w:szCs w:val="32"/>
        </w:rPr>
        <w:t>联合组建科研团队，共建科研平台，联合申报高级别科研项目和科技奖，开展关键技术攻关、协同创新和成果转化。</w:t>
      </w:r>
      <w:r>
        <w:rPr>
          <w:rFonts w:hint="eastAsia" w:ascii="楷体" w:hAnsi="楷体" w:eastAsia="楷体" w:cs="楷体"/>
          <w:color w:val="000000"/>
          <w:spacing w:val="6"/>
          <w:szCs w:val="32"/>
        </w:rPr>
        <w:t>（责任单位：科学研究部、相关学院）</w:t>
      </w:r>
    </w:p>
    <w:p w14:paraId="6247652D">
      <w:pPr>
        <w:spacing w:line="580" w:lineRule="exact"/>
        <w:ind w:firstLine="667" w:firstLineChars="200"/>
        <w:rPr>
          <w:rFonts w:ascii="楷体" w:hAnsi="楷体" w:eastAsia="楷体" w:cs="楷体"/>
          <w:color w:val="000000"/>
          <w:spacing w:val="6"/>
          <w:szCs w:val="32"/>
        </w:rPr>
      </w:pPr>
      <w:r>
        <w:rPr>
          <w:rFonts w:hint="eastAsia"/>
          <w:b/>
          <w:bCs/>
          <w:color w:val="000000"/>
          <w:spacing w:val="6"/>
          <w:szCs w:val="32"/>
        </w:rPr>
        <w:t>12.提升服务产业链水平。</w:t>
      </w:r>
      <w:r>
        <w:rPr>
          <w:rFonts w:hint="eastAsia"/>
          <w:color w:val="000000"/>
          <w:spacing w:val="6"/>
          <w:szCs w:val="32"/>
        </w:rPr>
        <w:t>建立横向项目与成果转化激励机制，完善职称晋升激励、工作量认定、校院两级共建共管等机制。</w:t>
      </w:r>
      <w:r>
        <w:rPr>
          <w:rFonts w:hint="eastAsia" w:ascii="仿宋_GB2312" w:hAnsi="仿宋_GB2312" w:cs="仿宋_GB2312"/>
          <w:color w:val="000000"/>
          <w:spacing w:val="6"/>
          <w:szCs w:val="40"/>
        </w:rPr>
        <w:t>建立职务科技成果“赋权+转让+约定收益”模式，</w:t>
      </w:r>
      <w:r>
        <w:rPr>
          <w:rFonts w:hint="eastAsia"/>
          <w:color w:val="000000"/>
          <w:spacing w:val="6"/>
          <w:szCs w:val="32"/>
        </w:rPr>
        <w:t>组建专业化经纪人队伍，实施科技成果分类与价值评估，促进科研成果更多更快转化。</w:t>
      </w:r>
      <w:r>
        <w:rPr>
          <w:rFonts w:hint="eastAsia" w:ascii="仿宋_GB2312"/>
          <w:color w:val="000000"/>
          <w:spacing w:val="6"/>
          <w:szCs w:val="32"/>
        </w:rPr>
        <w:t>聚焦汽车及零部件、新能源、新材料、高端绿色食品等区域重点产业领域，</w:t>
      </w:r>
      <w:r>
        <w:rPr>
          <w:rFonts w:hint="eastAsia"/>
          <w:color w:val="000000"/>
          <w:spacing w:val="6"/>
          <w:szCs w:val="32"/>
        </w:rPr>
        <w:t>推动标志性成果的市场化培育和重大成果的整合、展示与转化。探索校企共建新型研发机构、创新作价投资方式实施成果转化、推进赋权改革试点等成果转化新模式。</w:t>
      </w:r>
      <w:r>
        <w:rPr>
          <w:rFonts w:hint="eastAsia" w:ascii="楷体" w:hAnsi="楷体" w:eastAsia="楷体" w:cs="楷体"/>
          <w:color w:val="000000"/>
          <w:spacing w:val="6"/>
          <w:szCs w:val="32"/>
        </w:rPr>
        <w:t>（责任单位：科学研究部）</w:t>
      </w:r>
    </w:p>
    <w:p w14:paraId="30A908FC">
      <w:pPr>
        <w:spacing w:line="580" w:lineRule="exact"/>
        <w:ind w:firstLine="667" w:firstLineChars="200"/>
        <w:rPr>
          <w:rFonts w:ascii="楷体" w:hAnsi="楷体" w:cs="楷体"/>
          <w:color w:val="000000"/>
          <w:spacing w:val="6"/>
          <w:szCs w:val="32"/>
        </w:rPr>
      </w:pPr>
      <w:r>
        <w:rPr>
          <w:rFonts w:hint="eastAsia" w:ascii="仿宋_GB2312"/>
          <w:b/>
          <w:color w:val="000000"/>
          <w:spacing w:val="6"/>
          <w:szCs w:val="32"/>
        </w:rPr>
        <w:t>13.构建开放发展新格局。</w:t>
      </w:r>
      <w:r>
        <w:rPr>
          <w:rFonts w:hint="eastAsia"/>
          <w:color w:val="000000"/>
          <w:spacing w:val="6"/>
          <w:szCs w:val="32"/>
        </w:rPr>
        <w:t>坚持主动作为、深度融入，健全开放办学、合作发展长效机制。全面融入长三角一体化发展大格局，充分学习借鉴先进经验，主动走出去、请进来、融进去，提升大项目、大成果的参与度和贡献度。</w:t>
      </w:r>
      <w:r>
        <w:rPr>
          <w:rFonts w:hint="eastAsia" w:ascii="仿宋_GB2312" w:hAnsi="仿宋_GB2312" w:cs="仿宋_GB2312"/>
          <w:spacing w:val="6"/>
          <w:szCs w:val="40"/>
        </w:rPr>
        <w:t>坚持双向奔赴、彼此成就，建立校地、校企双向赋能、定期调度、务实长效的合作机制。</w:t>
      </w:r>
      <w:r>
        <w:rPr>
          <w:rFonts w:hint="eastAsia"/>
          <w:color w:val="000000"/>
          <w:spacing w:val="6"/>
          <w:szCs w:val="32"/>
        </w:rPr>
        <w:t>深入推进对外交流，</w:t>
      </w:r>
      <w:r>
        <w:rPr>
          <w:rFonts w:hint="eastAsia" w:ascii="仿宋_GB2312" w:hAnsi="仿宋_GB2312" w:cs="仿宋_GB2312"/>
          <w:color w:val="000000"/>
          <w:spacing w:val="6"/>
          <w:szCs w:val="40"/>
        </w:rPr>
        <w:t>积极争取更多政策、项目及资金支持</w:t>
      </w:r>
      <w:r>
        <w:rPr>
          <w:rFonts w:hint="eastAsia"/>
          <w:color w:val="000000"/>
          <w:spacing w:val="6"/>
          <w:szCs w:val="32"/>
        </w:rPr>
        <w:t>。常态化邀请发展战略咨询委员会专家、行业领军人才来校指导交流，主办承办高水平国际国内学术会议。（</w:t>
      </w:r>
      <w:r>
        <w:rPr>
          <w:rFonts w:hint="eastAsia" w:ascii="楷体" w:hAnsi="楷体" w:eastAsia="楷体" w:cs="楷体"/>
          <w:color w:val="000000"/>
          <w:spacing w:val="6"/>
          <w:szCs w:val="32"/>
        </w:rPr>
        <w:t>责任单位：社会合作处、学科建设与发展规划处、科学研究部</w:t>
      </w:r>
      <w:r>
        <w:rPr>
          <w:rFonts w:hint="eastAsia"/>
          <w:color w:val="000000"/>
          <w:spacing w:val="6"/>
          <w:szCs w:val="32"/>
        </w:rPr>
        <w:t>）</w:t>
      </w:r>
    </w:p>
    <w:p w14:paraId="23CA60C0">
      <w:pPr>
        <w:spacing w:line="580" w:lineRule="exact"/>
        <w:ind w:firstLine="640" w:firstLineChars="200"/>
        <w:rPr>
          <w:rFonts w:eastAsia="黑体"/>
          <w:bCs/>
          <w:color w:val="000000"/>
          <w:szCs w:val="32"/>
        </w:rPr>
      </w:pPr>
      <w:r>
        <w:rPr>
          <w:rFonts w:hint="eastAsia" w:eastAsia="黑体"/>
          <w:bCs/>
          <w:color w:val="000000"/>
          <w:szCs w:val="32"/>
        </w:rPr>
        <w:t>四、</w:t>
      </w:r>
      <w:r>
        <w:rPr>
          <w:rFonts w:eastAsia="黑体"/>
          <w:bCs/>
          <w:color w:val="000000"/>
          <w:szCs w:val="32"/>
        </w:rPr>
        <w:t>保障措施</w:t>
      </w:r>
    </w:p>
    <w:p w14:paraId="1F4283F3">
      <w:pPr>
        <w:spacing w:line="580" w:lineRule="exact"/>
        <w:ind w:firstLine="667" w:firstLineChars="200"/>
        <w:rPr>
          <w:color w:val="000000"/>
          <w:spacing w:val="6"/>
          <w:szCs w:val="32"/>
        </w:rPr>
      </w:pPr>
      <w:r>
        <w:rPr>
          <w:rFonts w:hint="eastAsia" w:ascii="仿宋_GB2312"/>
          <w:b/>
          <w:color w:val="000000"/>
          <w:spacing w:val="6"/>
          <w:szCs w:val="32"/>
        </w:rPr>
        <w:t>14.加强组织领导。</w:t>
      </w:r>
      <w:r>
        <w:rPr>
          <w:color w:val="000000"/>
          <w:spacing w:val="6"/>
          <w:szCs w:val="32"/>
        </w:rPr>
        <w:t>成立以</w:t>
      </w:r>
      <w:r>
        <w:rPr>
          <w:rFonts w:hint="eastAsia"/>
          <w:color w:val="000000"/>
          <w:spacing w:val="6"/>
          <w:szCs w:val="32"/>
        </w:rPr>
        <w:t>校</w:t>
      </w:r>
      <w:r>
        <w:rPr>
          <w:color w:val="000000"/>
          <w:spacing w:val="6"/>
          <w:szCs w:val="32"/>
        </w:rPr>
        <w:t>党委书记和校长为组长，分管校领导为副组长</w:t>
      </w:r>
      <w:r>
        <w:rPr>
          <w:rFonts w:hint="eastAsia"/>
          <w:color w:val="000000"/>
          <w:spacing w:val="6"/>
          <w:szCs w:val="32"/>
        </w:rPr>
        <w:t>，相关部门负责人为成员的工</w:t>
      </w:r>
      <w:r>
        <w:rPr>
          <w:color w:val="000000"/>
          <w:spacing w:val="6"/>
          <w:szCs w:val="32"/>
        </w:rPr>
        <w:t>作领导小组</w:t>
      </w:r>
      <w:r>
        <w:rPr>
          <w:rFonts w:hint="eastAsia"/>
          <w:color w:val="000000"/>
          <w:spacing w:val="6"/>
          <w:szCs w:val="32"/>
        </w:rPr>
        <w:t>。完善推进落实机制，学科建设与发展规划处负责实施方案与“十四五”发展规划的协同衔接，统筹抓好分析监测、定期调度；牵头职能部门要坚持目标导向、问题导向，编制项目推进清单、重大事项调度清单，按照清单化、项目化、事项化推进工作落实；党政办、纪委办负责督查督办。</w:t>
      </w:r>
    </w:p>
    <w:p w14:paraId="172167FF">
      <w:pPr>
        <w:spacing w:line="580" w:lineRule="exact"/>
        <w:ind w:firstLine="667" w:firstLineChars="200"/>
        <w:rPr>
          <w:color w:val="000000"/>
          <w:spacing w:val="6"/>
          <w:szCs w:val="32"/>
        </w:rPr>
      </w:pPr>
      <w:r>
        <w:rPr>
          <w:rFonts w:hint="eastAsia" w:ascii="仿宋_GB2312"/>
          <w:b/>
          <w:color w:val="000000"/>
          <w:spacing w:val="6"/>
          <w:szCs w:val="32"/>
        </w:rPr>
        <w:t>15</w:t>
      </w:r>
      <w:r>
        <w:rPr>
          <w:rFonts w:ascii="仿宋_GB2312"/>
          <w:b/>
          <w:color w:val="000000"/>
          <w:spacing w:val="6"/>
          <w:szCs w:val="32"/>
        </w:rPr>
        <w:t>.强化</w:t>
      </w:r>
      <w:r>
        <w:rPr>
          <w:rFonts w:hint="eastAsia" w:ascii="仿宋_GB2312"/>
          <w:b/>
          <w:color w:val="000000"/>
          <w:spacing w:val="6"/>
          <w:szCs w:val="32"/>
        </w:rPr>
        <w:t>协同配合</w:t>
      </w:r>
      <w:r>
        <w:rPr>
          <w:rFonts w:ascii="仿宋_GB2312"/>
          <w:b/>
          <w:color w:val="000000"/>
          <w:spacing w:val="6"/>
          <w:szCs w:val="32"/>
        </w:rPr>
        <w:t>。</w:t>
      </w:r>
      <w:r>
        <w:rPr>
          <w:rFonts w:hint="eastAsia"/>
          <w:color w:val="000000"/>
          <w:spacing w:val="6"/>
          <w:szCs w:val="32"/>
        </w:rPr>
        <w:t>职能部门要对标高质量发展要求、高水平院校创新做法和成功经验，认真分析、查找差距，拿出创新举措、多出关键实招，与学院共同谋划、齐抓落实。</w:t>
      </w:r>
      <w:r>
        <w:rPr>
          <w:color w:val="000000"/>
          <w:spacing w:val="6"/>
          <w:szCs w:val="32"/>
        </w:rPr>
        <w:t>学院要</w:t>
      </w:r>
      <w:r>
        <w:rPr>
          <w:rFonts w:hint="eastAsia"/>
          <w:color w:val="000000"/>
          <w:spacing w:val="6"/>
          <w:szCs w:val="32"/>
        </w:rPr>
        <w:t>找准制约高质量发展关键问题，厘清发展思路，</w:t>
      </w:r>
      <w:r>
        <w:rPr>
          <w:color w:val="000000"/>
          <w:spacing w:val="6"/>
          <w:szCs w:val="32"/>
        </w:rPr>
        <w:t>把</w:t>
      </w:r>
      <w:r>
        <w:rPr>
          <w:rFonts w:hint="eastAsia"/>
          <w:color w:val="000000"/>
          <w:spacing w:val="6"/>
          <w:szCs w:val="32"/>
        </w:rPr>
        <w:t>实施方案纳入年度重点任务，班子成员要带头重实干、抓落实。</w:t>
      </w:r>
    </w:p>
    <w:p w14:paraId="6F35D4EB">
      <w:pPr>
        <w:spacing w:line="580" w:lineRule="exact"/>
        <w:ind w:firstLine="667" w:firstLineChars="200"/>
        <w:rPr>
          <w:color w:val="000000"/>
          <w:spacing w:val="6"/>
          <w:szCs w:val="32"/>
        </w:rPr>
      </w:pPr>
      <w:r>
        <w:rPr>
          <w:rFonts w:hint="eastAsia" w:ascii="仿宋_GB2312"/>
          <w:b/>
          <w:color w:val="000000"/>
          <w:spacing w:val="6"/>
          <w:szCs w:val="32"/>
        </w:rPr>
        <w:t>16</w:t>
      </w:r>
      <w:r>
        <w:rPr>
          <w:rFonts w:ascii="仿宋_GB2312"/>
          <w:b/>
          <w:color w:val="000000"/>
          <w:spacing w:val="6"/>
          <w:szCs w:val="32"/>
        </w:rPr>
        <w:t>.</w:t>
      </w:r>
      <w:r>
        <w:rPr>
          <w:rFonts w:hint="eastAsia" w:ascii="仿宋_GB2312"/>
          <w:b/>
          <w:color w:val="000000"/>
          <w:spacing w:val="6"/>
          <w:szCs w:val="32"/>
        </w:rPr>
        <w:t>注重</w:t>
      </w:r>
      <w:r>
        <w:rPr>
          <w:rFonts w:ascii="仿宋_GB2312"/>
          <w:b/>
          <w:color w:val="000000"/>
          <w:spacing w:val="6"/>
          <w:szCs w:val="32"/>
        </w:rPr>
        <w:t>宣传引导。</w:t>
      </w:r>
      <w:r>
        <w:rPr>
          <w:rFonts w:hint="eastAsia"/>
          <w:color w:val="000000"/>
          <w:spacing w:val="6"/>
          <w:szCs w:val="32"/>
        </w:rPr>
        <w:t>各单位</w:t>
      </w:r>
      <w:r>
        <w:rPr>
          <w:color w:val="000000"/>
          <w:spacing w:val="6"/>
          <w:szCs w:val="32"/>
        </w:rPr>
        <w:t>要加强</w:t>
      </w:r>
      <w:r>
        <w:rPr>
          <w:rFonts w:hint="eastAsia"/>
          <w:color w:val="000000"/>
          <w:spacing w:val="6"/>
          <w:szCs w:val="32"/>
        </w:rPr>
        <w:t>对实施方案</w:t>
      </w:r>
      <w:r>
        <w:rPr>
          <w:color w:val="000000"/>
          <w:spacing w:val="6"/>
          <w:szCs w:val="32"/>
        </w:rPr>
        <w:t>的调查研究，及时总结经验，研究解决问题，不断调整完善思路举措。</w:t>
      </w:r>
      <w:r>
        <w:rPr>
          <w:rFonts w:hint="eastAsia"/>
          <w:color w:val="000000"/>
          <w:spacing w:val="6"/>
          <w:szCs w:val="32"/>
        </w:rPr>
        <w:t>要</w:t>
      </w:r>
      <w:r>
        <w:rPr>
          <w:color w:val="000000"/>
          <w:spacing w:val="6"/>
          <w:szCs w:val="32"/>
        </w:rPr>
        <w:t>加强对建设成效的总结宣传，创新成果展示方式，充分运用各种媒体及时宣传报道</w:t>
      </w:r>
      <w:r>
        <w:rPr>
          <w:rFonts w:hint="eastAsia"/>
          <w:color w:val="000000"/>
          <w:spacing w:val="6"/>
          <w:szCs w:val="32"/>
        </w:rPr>
        <w:t>工作</w:t>
      </w:r>
      <w:r>
        <w:rPr>
          <w:color w:val="000000"/>
          <w:spacing w:val="6"/>
          <w:szCs w:val="32"/>
        </w:rPr>
        <w:t>进展</w:t>
      </w:r>
      <w:r>
        <w:rPr>
          <w:rFonts w:hint="eastAsia"/>
          <w:color w:val="000000"/>
          <w:spacing w:val="6"/>
          <w:szCs w:val="32"/>
        </w:rPr>
        <w:t>、</w:t>
      </w:r>
      <w:r>
        <w:rPr>
          <w:color w:val="000000"/>
          <w:spacing w:val="6"/>
          <w:szCs w:val="32"/>
        </w:rPr>
        <w:t>成效</w:t>
      </w:r>
      <w:r>
        <w:rPr>
          <w:rFonts w:hint="eastAsia"/>
          <w:color w:val="000000"/>
          <w:spacing w:val="6"/>
          <w:szCs w:val="32"/>
        </w:rPr>
        <w:t>及</w:t>
      </w:r>
      <w:r>
        <w:rPr>
          <w:color w:val="000000"/>
          <w:spacing w:val="6"/>
          <w:szCs w:val="32"/>
        </w:rPr>
        <w:t>特色</w:t>
      </w:r>
      <w:r>
        <w:rPr>
          <w:rFonts w:hint="eastAsia"/>
          <w:color w:val="000000"/>
          <w:spacing w:val="6"/>
          <w:szCs w:val="32"/>
        </w:rPr>
        <w:t>、</w:t>
      </w:r>
      <w:r>
        <w:rPr>
          <w:color w:val="000000"/>
          <w:spacing w:val="6"/>
          <w:szCs w:val="32"/>
        </w:rPr>
        <w:t>亮点，营造</w:t>
      </w:r>
      <w:r>
        <w:rPr>
          <w:rFonts w:hint="eastAsia"/>
          <w:color w:val="000000"/>
          <w:spacing w:val="6"/>
          <w:szCs w:val="32"/>
        </w:rPr>
        <w:t>干事创业的浓厚</w:t>
      </w:r>
      <w:r>
        <w:rPr>
          <w:color w:val="000000"/>
          <w:spacing w:val="6"/>
          <w:szCs w:val="32"/>
        </w:rPr>
        <w:t>氛围</w:t>
      </w:r>
      <w:r>
        <w:rPr>
          <w:rFonts w:hint="eastAsia"/>
          <w:color w:val="000000"/>
          <w:spacing w:val="6"/>
          <w:szCs w:val="32"/>
        </w:rPr>
        <w:t>，展现改革奋进的师大人形象</w:t>
      </w:r>
      <w:r>
        <w:rPr>
          <w:color w:val="000000"/>
          <w:spacing w:val="6"/>
          <w:szCs w:val="32"/>
        </w:rPr>
        <w:t>。</w:t>
      </w:r>
      <w:bookmarkEnd w:id="0"/>
    </w:p>
    <w:sectPr>
      <w:headerReference r:id="rId4" w:type="first"/>
      <w:footerReference r:id="rId7" w:type="first"/>
      <w:headerReference r:id="rId3" w:type="default"/>
      <w:footerReference r:id="rId5" w:type="default"/>
      <w:footerReference r:id="rId6" w:type="even"/>
      <w:pgSz w:w="11906" w:h="16838"/>
      <w:pgMar w:top="1418" w:right="1418" w:bottom="1418" w:left="1418" w:header="850" w:footer="850" w:gutter="0"/>
      <w:cols w:space="720" w:num="1"/>
      <w:docGrid w:type="lines" w:linePitch="57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F4DB3D-A930-45EE-8BE8-6CDC8C48A2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9B05ECF-6C38-4AF0-A17E-F9C7951A3BBD}"/>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DAD54D65-12C2-42A2-B4AE-65CBF9ECB7A1}"/>
  </w:font>
  <w:font w:name="仿宋">
    <w:panose1 w:val="02010609060101010101"/>
    <w:charset w:val="86"/>
    <w:family w:val="modern"/>
    <w:pitch w:val="default"/>
    <w:sig w:usb0="800002BF" w:usb1="38CF7CFA" w:usb2="00000016" w:usb3="00000000" w:csb0="00040001" w:csb1="00000000"/>
    <w:embedRegular r:id="rId4" w:fontKey="{EB68458E-77E5-4B04-BA3D-9092F596064D}"/>
  </w:font>
  <w:font w:name="楷体_GB2312">
    <w:panose1 w:val="02010609030101010101"/>
    <w:charset w:val="86"/>
    <w:family w:val="modern"/>
    <w:pitch w:val="default"/>
    <w:sig w:usb0="00000001" w:usb1="080E0000" w:usb2="00000000" w:usb3="00000000" w:csb0="00040000" w:csb1="00000000"/>
    <w:embedRegular r:id="rId5" w:fontKey="{41BEE10C-3A1B-41EA-8733-B4A4E255E10D}"/>
  </w:font>
  <w:font w:name="方正楷体_GBK">
    <w:panose1 w:val="03000509000000000000"/>
    <w:charset w:val="86"/>
    <w:family w:val="script"/>
    <w:pitch w:val="default"/>
    <w:sig w:usb0="00000001" w:usb1="080E0000" w:usb2="00000000" w:usb3="00000000" w:csb0="00040000" w:csb1="00000000"/>
    <w:embedRegular r:id="rId6" w:fontKey="{CADA1298-6C41-43D8-8429-A7646942E9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F965">
    <w:pPr>
      <w:pStyle w:val="3"/>
      <w:wordWrap w:val="0"/>
      <w:jc w:val="right"/>
    </w:pPr>
    <w:r>
      <w:rPr>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60CB">
    <w:pPr>
      <w:pStyle w:val="3"/>
    </w:pPr>
    <w:r>
      <w:rPr>
        <w:rFonts w:eastAsia="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9910">
    <w:pPr>
      <w:pStyle w:val="3"/>
      <w:jc w:val="right"/>
      <w:rPr>
        <w:rFonts w:eastAsia="宋体"/>
        <w:sz w:val="28"/>
        <w:szCs w:val="28"/>
      </w:rPr>
    </w:pPr>
    <w:r>
      <w:rPr>
        <w:rFonts w:eastAsia="宋体"/>
        <w:sz w:val="28"/>
        <w:szCs w:val="28"/>
      </w:rPr>
      <w:t>— 1 —</w:t>
    </w:r>
  </w:p>
  <w:p w14:paraId="7654835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61D3F">
    <w:pPr>
      <w:pStyle w:val="4"/>
      <w:pBdr>
        <w:bottom w:val="none" w:color="auto" w:sz="0" w:space="0"/>
      </w:pBdr>
      <w:tabs>
        <w:tab w:val="right" w:pos="10605"/>
        <w:tab w:val="clear" w:pos="8306"/>
      </w:tabs>
      <w:ind w:right="24"/>
      <w:rPr>
        <w:rFonts w:ascii="宋体" w:hAnsi="宋体" w:eastAsia="宋体"/>
        <w:color w:val="FFFFFF"/>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E92C9">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420"/>
  <w:evenAndOddHeaders w:val="1"/>
  <w:drawingGridHorizontalSpacing w:val="164"/>
  <w:drawingGridVerticalSpacing w:val="57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OTJhY2FiZjFhMGMzNDM2ZTQ3OTc3NGMzYmY0ZmQifQ=="/>
  </w:docVars>
  <w:rsids>
    <w:rsidRoot w:val="007A7314"/>
    <w:rsid w:val="00040C82"/>
    <w:rsid w:val="00041D23"/>
    <w:rsid w:val="00063DAF"/>
    <w:rsid w:val="000A3484"/>
    <w:rsid w:val="000F50B7"/>
    <w:rsid w:val="00126F80"/>
    <w:rsid w:val="00136300"/>
    <w:rsid w:val="00174E6F"/>
    <w:rsid w:val="001772BE"/>
    <w:rsid w:val="001A7E2A"/>
    <w:rsid w:val="001D7660"/>
    <w:rsid w:val="002048D5"/>
    <w:rsid w:val="002865BD"/>
    <w:rsid w:val="002A071B"/>
    <w:rsid w:val="003343E2"/>
    <w:rsid w:val="00350A2A"/>
    <w:rsid w:val="00352515"/>
    <w:rsid w:val="003769EC"/>
    <w:rsid w:val="003E040C"/>
    <w:rsid w:val="0042228A"/>
    <w:rsid w:val="00456E98"/>
    <w:rsid w:val="00476012"/>
    <w:rsid w:val="00481D39"/>
    <w:rsid w:val="0048575A"/>
    <w:rsid w:val="004A0244"/>
    <w:rsid w:val="004A6EBC"/>
    <w:rsid w:val="004D698C"/>
    <w:rsid w:val="0051767F"/>
    <w:rsid w:val="00534E91"/>
    <w:rsid w:val="00581EBD"/>
    <w:rsid w:val="005C73D1"/>
    <w:rsid w:val="005D21F5"/>
    <w:rsid w:val="005E02F1"/>
    <w:rsid w:val="005E1493"/>
    <w:rsid w:val="006230EE"/>
    <w:rsid w:val="00682DD4"/>
    <w:rsid w:val="00686867"/>
    <w:rsid w:val="006B332D"/>
    <w:rsid w:val="006B3A14"/>
    <w:rsid w:val="006C2C63"/>
    <w:rsid w:val="006D0AB0"/>
    <w:rsid w:val="006D39BF"/>
    <w:rsid w:val="006F2212"/>
    <w:rsid w:val="006F3226"/>
    <w:rsid w:val="006F4797"/>
    <w:rsid w:val="00701663"/>
    <w:rsid w:val="00705314"/>
    <w:rsid w:val="00722239"/>
    <w:rsid w:val="00783996"/>
    <w:rsid w:val="00794199"/>
    <w:rsid w:val="0079673C"/>
    <w:rsid w:val="007A7314"/>
    <w:rsid w:val="007E5F60"/>
    <w:rsid w:val="00812472"/>
    <w:rsid w:val="00822911"/>
    <w:rsid w:val="008301BC"/>
    <w:rsid w:val="00840C99"/>
    <w:rsid w:val="0084278A"/>
    <w:rsid w:val="00871085"/>
    <w:rsid w:val="008730C4"/>
    <w:rsid w:val="00885615"/>
    <w:rsid w:val="008C4426"/>
    <w:rsid w:val="00903375"/>
    <w:rsid w:val="0092617D"/>
    <w:rsid w:val="00936D0A"/>
    <w:rsid w:val="00992E2C"/>
    <w:rsid w:val="00A476F0"/>
    <w:rsid w:val="00A50DA6"/>
    <w:rsid w:val="00A57C4B"/>
    <w:rsid w:val="00A66846"/>
    <w:rsid w:val="00A81AF9"/>
    <w:rsid w:val="00A925AC"/>
    <w:rsid w:val="00AC5399"/>
    <w:rsid w:val="00AD4E72"/>
    <w:rsid w:val="00B55C1E"/>
    <w:rsid w:val="00B67634"/>
    <w:rsid w:val="00B861FC"/>
    <w:rsid w:val="00BA0B77"/>
    <w:rsid w:val="00BA19EE"/>
    <w:rsid w:val="00BB5FA3"/>
    <w:rsid w:val="00C169C2"/>
    <w:rsid w:val="00C31D39"/>
    <w:rsid w:val="00C54D25"/>
    <w:rsid w:val="00C631A4"/>
    <w:rsid w:val="00C93F88"/>
    <w:rsid w:val="00CA65BA"/>
    <w:rsid w:val="00CC1AA7"/>
    <w:rsid w:val="00CC7139"/>
    <w:rsid w:val="00CE4F50"/>
    <w:rsid w:val="00D04634"/>
    <w:rsid w:val="00D52729"/>
    <w:rsid w:val="00D57437"/>
    <w:rsid w:val="00D70772"/>
    <w:rsid w:val="00D766C7"/>
    <w:rsid w:val="00D96CC4"/>
    <w:rsid w:val="00DD5C20"/>
    <w:rsid w:val="00E10857"/>
    <w:rsid w:val="00E12A4F"/>
    <w:rsid w:val="00E60F68"/>
    <w:rsid w:val="00E62C25"/>
    <w:rsid w:val="00E76863"/>
    <w:rsid w:val="00E9580B"/>
    <w:rsid w:val="00EB2E31"/>
    <w:rsid w:val="00ED253F"/>
    <w:rsid w:val="00EF5F53"/>
    <w:rsid w:val="00F258DD"/>
    <w:rsid w:val="00F302D0"/>
    <w:rsid w:val="00F42E5D"/>
    <w:rsid w:val="00F45D77"/>
    <w:rsid w:val="00F47C57"/>
    <w:rsid w:val="04693B13"/>
    <w:rsid w:val="08DA0BDB"/>
    <w:rsid w:val="090D1C0B"/>
    <w:rsid w:val="0DF23C42"/>
    <w:rsid w:val="15A52C4D"/>
    <w:rsid w:val="19044F98"/>
    <w:rsid w:val="1BC126A1"/>
    <w:rsid w:val="1E5C2889"/>
    <w:rsid w:val="220E16ED"/>
    <w:rsid w:val="248A1CB5"/>
    <w:rsid w:val="25100D20"/>
    <w:rsid w:val="2673294D"/>
    <w:rsid w:val="3CD70CBD"/>
    <w:rsid w:val="3D903F01"/>
    <w:rsid w:val="3E3C6DDE"/>
    <w:rsid w:val="42E35327"/>
    <w:rsid w:val="45D90D9F"/>
    <w:rsid w:val="49FD42EF"/>
    <w:rsid w:val="4B002E76"/>
    <w:rsid w:val="4FB664D2"/>
    <w:rsid w:val="520A3E0B"/>
    <w:rsid w:val="55F96C6C"/>
    <w:rsid w:val="56FB45D9"/>
    <w:rsid w:val="58482B5E"/>
    <w:rsid w:val="5E3020E4"/>
    <w:rsid w:val="5FDB676F"/>
    <w:rsid w:val="607265C2"/>
    <w:rsid w:val="65C1727E"/>
    <w:rsid w:val="68A45648"/>
    <w:rsid w:val="722B67B1"/>
    <w:rsid w:val="72F41718"/>
    <w:rsid w:val="7E915BE9"/>
    <w:rsid w:val="7F41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kern w:val="0"/>
      <w:szCs w:val="32"/>
    </w:rPr>
  </w:style>
  <w:style w:type="paragraph" w:styleId="3">
    <w:name w:val="footer"/>
    <w:basedOn w:val="1"/>
    <w:link w:val="11"/>
    <w:qFormat/>
    <w:uiPriority w:val="99"/>
    <w:pPr>
      <w:tabs>
        <w:tab w:val="center" w:pos="4153"/>
        <w:tab w:val="right" w:pos="8306"/>
      </w:tabs>
      <w:snapToGrid w:val="0"/>
      <w:jc w:val="left"/>
    </w:pPr>
    <w:rPr>
      <w:kern w:val="0"/>
      <w:sz w:val="18"/>
      <w:szCs w:val="32"/>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kern w:val="0"/>
      <w:sz w:val="18"/>
      <w:szCs w:val="32"/>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Emphasis"/>
    <w:qFormat/>
    <w:uiPriority w:val="20"/>
    <w:rPr>
      <w:i/>
      <w:iCs/>
    </w:rPr>
  </w:style>
  <w:style w:type="character" w:customStyle="1" w:styleId="10">
    <w:name w:val="日期 字符"/>
    <w:link w:val="2"/>
    <w:qFormat/>
    <w:uiPriority w:val="0"/>
    <w:rPr>
      <w:rFonts w:ascii="仿宋_GB2312" w:hAnsi="Times New Roman" w:eastAsia="仿宋_GB2312" w:cs="Times New Roman"/>
      <w:sz w:val="32"/>
      <w:szCs w:val="32"/>
    </w:rPr>
  </w:style>
  <w:style w:type="character" w:customStyle="1" w:styleId="11">
    <w:name w:val="页脚 字符"/>
    <w:link w:val="3"/>
    <w:qFormat/>
    <w:uiPriority w:val="99"/>
    <w:rPr>
      <w:rFonts w:ascii="Times New Roman" w:hAnsi="Times New Roman" w:eastAsia="仿宋_GB2312" w:cs="Times New Roman"/>
      <w:sz w:val="18"/>
      <w:szCs w:val="32"/>
    </w:rPr>
  </w:style>
  <w:style w:type="character" w:customStyle="1" w:styleId="12">
    <w:name w:val="页眉 字符"/>
    <w:link w:val="4"/>
    <w:qFormat/>
    <w:uiPriority w:val="0"/>
    <w:rPr>
      <w:rFonts w:ascii="Times New Roman" w:hAnsi="Times New Roman" w:eastAsia="仿宋_GB2312" w:cs="Times New Roman"/>
      <w:sz w:val="18"/>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4540</Words>
  <Characters>4583</Characters>
  <Lines>32</Lines>
  <Paragraphs>9</Paragraphs>
  <TotalTime>11</TotalTime>
  <ScaleCrop>false</ScaleCrop>
  <LinksUpToDate>false</LinksUpToDate>
  <CharactersWithSpaces>4585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2015-09-14T02:36:00Z</dcterms:created>
  <dc:creator>范宵</dc:creator>
  <cp:lastModifiedBy>Esther ♘</cp:lastModifiedBy>
  <cp:lastPrinted>2024-12-04T03:30:00Z</cp:lastPrinted>
  <dcterms:modified xsi:type="dcterms:W3CDTF">2025-05-07T09:56:48Z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A81B836203134C639FDF9CAF851BBF08_13</vt:lpwstr>
  </property>
  <property fmtid="{D5CDD505-2E9C-101B-9397-08002B2CF9AE}" pid="4" name="KSOTemplateDocerSaveRecord">
    <vt:lpwstr>eyJoZGlkIjoiMzAzNGM0Yzc0ODZhMjAzNGM5MWQ0NjkzMmU5NzhhZDkiLCJ1c2VySWQiOiIzMDgwODY5NzYifQ==</vt:lpwstr>
  </property>
</Properties>
</file>